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38" w:rsidRPr="009B2D38" w:rsidRDefault="009B2D38" w:rsidP="009B2D38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b/>
          <w:sz w:val="24"/>
          <w:szCs w:val="24"/>
        </w:rPr>
      </w:pPr>
      <w:bookmarkStart w:id="0" w:name="_GoBack"/>
      <w:bookmarkEnd w:id="0"/>
      <w:r w:rsidRPr="009B2D38">
        <w:rPr>
          <w:rFonts w:ascii="Verdana" w:hAnsi="Verdana" w:cs="FedraSansStd-Demi"/>
          <w:b/>
          <w:sz w:val="24"/>
          <w:szCs w:val="24"/>
        </w:rPr>
        <w:t>UN MONDO NUOVO:</w:t>
      </w:r>
    </w:p>
    <w:p w:rsidR="004970BB" w:rsidRPr="00B87C38" w:rsidRDefault="009B2D38" w:rsidP="009B2D38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b/>
          <w:sz w:val="24"/>
          <w:szCs w:val="24"/>
        </w:rPr>
      </w:pPr>
      <w:r w:rsidRPr="009B2D38">
        <w:rPr>
          <w:rFonts w:ascii="Verdana" w:hAnsi="Verdana" w:cs="FedraSansStd-Demi"/>
          <w:b/>
          <w:sz w:val="24"/>
          <w:szCs w:val="24"/>
        </w:rPr>
        <w:t>ARTE CLASSICA E INGEGNERIA</w:t>
      </w:r>
      <w:r>
        <w:rPr>
          <w:rFonts w:ascii="Verdana" w:hAnsi="Verdana" w:cs="FedraSansStd-Demi"/>
          <w:b/>
          <w:sz w:val="24"/>
          <w:szCs w:val="24"/>
        </w:rPr>
        <w:t xml:space="preserve"> </w:t>
      </w:r>
      <w:r w:rsidRPr="009B2D38">
        <w:rPr>
          <w:rFonts w:ascii="Verdana" w:hAnsi="Verdana" w:cs="FedraSansStd-Demi"/>
          <w:b/>
          <w:sz w:val="24"/>
          <w:szCs w:val="24"/>
        </w:rPr>
        <w:t>ALLA LIMONAIA DI BOBOLI</w:t>
      </w:r>
    </w:p>
    <w:p w:rsidR="00B87C38" w:rsidRDefault="00B87C38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</w:p>
    <w:p w:rsid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FedraSansStd-Demi"/>
          <w:sz w:val="24"/>
          <w:szCs w:val="24"/>
        </w:rPr>
      </w:pPr>
      <w:r>
        <w:rPr>
          <w:rFonts w:ascii="Verdana" w:hAnsi="Verdana" w:cs="FedraSansStd-Demi"/>
          <w:sz w:val="24"/>
          <w:szCs w:val="24"/>
        </w:rPr>
        <w:t>di Eike D. Schmidt</w:t>
      </w:r>
    </w:p>
    <w:p w:rsidR="004970BB" w:rsidRP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PerpetuaStd"/>
          <w:i/>
          <w:sz w:val="24"/>
          <w:szCs w:val="24"/>
        </w:rPr>
      </w:pPr>
      <w:r w:rsidRPr="004970BB">
        <w:rPr>
          <w:rFonts w:ascii="Verdana" w:hAnsi="Verdana" w:cs="FedraSansStd-Demi"/>
          <w:i/>
          <w:sz w:val="24"/>
          <w:szCs w:val="24"/>
        </w:rPr>
        <w:t>Direttore delle Gallerie degli Uffizi</w:t>
      </w:r>
    </w:p>
    <w:p w:rsidR="004970BB" w:rsidRPr="004970BB" w:rsidRDefault="004970BB" w:rsidP="004970BB">
      <w:pPr>
        <w:autoSpaceDE w:val="0"/>
        <w:autoSpaceDN w:val="0"/>
        <w:adjustRightInd w:val="0"/>
        <w:spacing w:after="0" w:line="240" w:lineRule="auto"/>
        <w:rPr>
          <w:rFonts w:ascii="Verdana" w:hAnsi="Verdana" w:cs="PerpetuaStd"/>
          <w:sz w:val="26"/>
          <w:szCs w:val="26"/>
        </w:rPr>
      </w:pPr>
    </w:p>
    <w:p w:rsidR="004970BB" w:rsidRDefault="004970BB" w:rsidP="004970BB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  <w:sz w:val="24"/>
          <w:szCs w:val="24"/>
        </w:rPr>
      </w:pPr>
    </w:p>
    <w:p w:rsidR="009B2D38" w:rsidRPr="009B2D38" w:rsidRDefault="009B2D38" w:rsidP="009B2D38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9B2D38">
        <w:rPr>
          <w:rFonts w:ascii="Verdana" w:hAnsi="Verdana" w:cs="PerpetuaStd"/>
        </w:rPr>
        <w:t>Se, come succedeva ai visitatori dell’inizio del XIX secolo, entrassimo nel giardino di Boboli dal suo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originario ingresso settentrionale, oggi noto come Rondò di Bacco, le prime sculture antiche che apparirebbero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al nostro sguardo sarebbero i due Daci in porfido rosso. Della folla di statue classiche, oltre un centinaio,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che popolano i viali e i boschi dell’immenso parco, furono proprio queste due preziose reliquie dell’arredo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scultoreo del foro traianeo a rappresentare, nella Firenze medicea, la sintesi compiuta della grandiosità della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Roma imperiale e lo sfarzo della sua arte. Anche se molti altri frammenti di quell’immenso universo architettonico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 xml:space="preserve">che fu il </w:t>
      </w:r>
      <w:r w:rsidRPr="009B2D38">
        <w:rPr>
          <w:rFonts w:ascii="Verdana" w:hAnsi="Verdana" w:cs="PerpetuaStd"/>
          <w:i/>
        </w:rPr>
        <w:t>Forum Ulpium</w:t>
      </w:r>
      <w:r w:rsidRPr="009B2D38">
        <w:rPr>
          <w:rFonts w:ascii="Verdana" w:hAnsi="Verdana" w:cs="PerpetuaStd"/>
        </w:rPr>
        <w:t xml:space="preserve"> sono presenti nelle collezioni delle Gallerie degli Uffizi (penso alle gigantesche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figure femminili del ciclo della gens imperiale sistemate sotto la Loggia dei Lanzi o alla solenne figura di Dace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della Galleria Palatina), le due sentinelle porfiretiche poste a guardia dell’accesso a Boboli forniscono la prova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più evidente del destino che lega questo luogo alla Colonna Traiana e al suo mito. Nessun altro contesto se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 xml:space="preserve">non il giardino di Boboli (esso stesso, del resto, una sorta di traduzione rinascimentale degli </w:t>
      </w:r>
      <w:r w:rsidRPr="009B2D38">
        <w:rPr>
          <w:rFonts w:ascii="Verdana" w:hAnsi="Verdana" w:cs="PerpetuaStd"/>
          <w:i/>
        </w:rPr>
        <w:t>horti</w:t>
      </w:r>
      <w:r w:rsidRPr="009B2D38">
        <w:rPr>
          <w:rFonts w:ascii="Verdana" w:hAnsi="Verdana" w:cs="PerpetuaStd"/>
        </w:rPr>
        <w:t xml:space="preserve"> imperiali che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circondavano Roma), sembra più adatto a far rivivere la fortuna e la fama di un monumento che da sempre è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stato sentito come paradigma della gloria della Città Eterna. Non è certo un caso che il Senato di Roma già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nel 1162, secoli prima dunque che l’Umanesimo riscoprisse il valore e la bellezza dell’Antico, avesse deciso di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tutelare la colonna «per tutta l’eternità, finché il mondo durerà, al fine di salvaguardare l’onore del Comune di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Roma per sempre». Da allora, su questo caposaldo della cultura occidentale, antiquari, artisti, storici, esteti ed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archeologi hanno scritto volumi sufficienti per riempire intere biblioteche.</w:t>
      </w:r>
    </w:p>
    <w:p w:rsidR="009B2D38" w:rsidRDefault="009B2D38" w:rsidP="009B2D38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</w:p>
    <w:p w:rsidR="009B2D38" w:rsidRPr="009B2D38" w:rsidRDefault="009B2D38" w:rsidP="009B2D38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9B2D38">
        <w:rPr>
          <w:rFonts w:ascii="Verdana" w:hAnsi="Verdana" w:cs="PerpetuaStd"/>
        </w:rPr>
        <w:t>Mai, però, si era prestata sufficiente attenzione a quale stupefacente prodotto d’ingegneria sia stata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quella colonna centenaria (alta, cioè, cento piedi romani) che, col suo basamento, arriva a sfiorare i quaranta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metri di altezza. È merito di Giovanni Di Pasquale averci rivelato questo lato nascosto di un monumento senza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pari, ricomponendo con metodo e rigore le complesse fasi di un miracolo architettonico reso possibile grazie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a un’ineguagliabile capacità organizzativa, ingegneristica e scultorea. Tuttavia, solo un artista del calibro di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 xml:space="preserve">Claudio Capotondi poteva restituire forma e vita </w:t>
      </w:r>
      <w:r w:rsidRPr="009B2D38">
        <w:rPr>
          <w:rFonts w:ascii="Verdana" w:hAnsi="Verdana" w:cs="PerpetuaStd"/>
        </w:rPr>
        <w:lastRenderedPageBreak/>
        <w:t>a questa travagliata genesi costruttiva con modelli dettagliati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e schizzi di rara efficacia e potenza, nei quali il suo tratto nitido e sintetico ha immaginato – con l’esperienza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di chi da una vita lavora con il marmo – i gesti, gli strumenti e le soluzioni che crearono un colosso degno di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rivaleggiare con le sette meraviglie del mondo antico.</w:t>
      </w:r>
    </w:p>
    <w:p w:rsidR="009B2D38" w:rsidRDefault="009B2D38" w:rsidP="009B2D38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</w:p>
    <w:p w:rsidR="00B87C38" w:rsidRPr="00581ABD" w:rsidRDefault="009B2D38" w:rsidP="009B2D38">
      <w:pPr>
        <w:autoSpaceDE w:val="0"/>
        <w:autoSpaceDN w:val="0"/>
        <w:adjustRightInd w:val="0"/>
        <w:spacing w:after="0" w:line="360" w:lineRule="auto"/>
        <w:rPr>
          <w:rFonts w:ascii="Verdana" w:hAnsi="Verdana" w:cs="PerpetuaStd"/>
        </w:rPr>
      </w:pPr>
      <w:r w:rsidRPr="009B2D38">
        <w:rPr>
          <w:rFonts w:ascii="Verdana" w:hAnsi="Verdana" w:cs="PerpetuaStd"/>
        </w:rPr>
        <w:t>La consapevolezza dell’ottimo risultato raggiunto e dell’originalità del progetto, premessa irrinunciabile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di ogni buona mostra, mi confermano quali siano i fruttuosi vantaggi della collaborazione fra due istituzioni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di punta della nostra città come il Museo Galileo e le Gallerie degli Uffizi. Dopo il grande successo di pubblico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 xml:space="preserve">e di critica dell’esposizione </w:t>
      </w:r>
      <w:r w:rsidRPr="009B2D38">
        <w:rPr>
          <w:rFonts w:ascii="Verdana" w:hAnsi="Verdana" w:cs="PerpetuaStd"/>
          <w:i/>
        </w:rPr>
        <w:t>L’acqua microscopio della Natura. Il Codice Leicester di Leonardo da Vinci</w:t>
      </w:r>
      <w:r w:rsidRPr="009B2D38">
        <w:rPr>
          <w:rFonts w:ascii="Verdana" w:hAnsi="Verdana" w:cs="PerpetuaStd"/>
        </w:rPr>
        <w:t>, chiusa appena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pochi mesi fa, con questo nuovo capitolo il connubio fra arte e scienza si mostra, ancora una volta, una riserva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inesauribile. Un simile approccio non solo rende possibile l’esplorazione di ulteriori campi della conoscenza,</w:t>
      </w:r>
      <w:r>
        <w:rPr>
          <w:rFonts w:ascii="Verdana" w:hAnsi="Verdana" w:cs="PerpetuaStd"/>
        </w:rPr>
        <w:t xml:space="preserve"> </w:t>
      </w:r>
      <w:r w:rsidRPr="009B2D38">
        <w:rPr>
          <w:rFonts w:ascii="Verdana" w:hAnsi="Verdana" w:cs="PerpetuaStd"/>
        </w:rPr>
        <w:t>ma dà vita a percorsi espositivi inediti e coinvolgenti destinati a sedurre esperti e semplici curiosi.</w:t>
      </w:r>
    </w:p>
    <w:sectPr w:rsidR="00B87C38" w:rsidRPr="00581ABD" w:rsidSect="00834A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edraSansStd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erpetuaStd">
    <w:altName w:val="Yu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BB"/>
    <w:rsid w:val="00023CE9"/>
    <w:rsid w:val="00084C66"/>
    <w:rsid w:val="00125C6A"/>
    <w:rsid w:val="00331F66"/>
    <w:rsid w:val="00377E35"/>
    <w:rsid w:val="004970BB"/>
    <w:rsid w:val="00581ABD"/>
    <w:rsid w:val="00643E65"/>
    <w:rsid w:val="00834A8F"/>
    <w:rsid w:val="009B2D38"/>
    <w:rsid w:val="00B87C38"/>
    <w:rsid w:val="00C404C7"/>
    <w:rsid w:val="00C4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55E5B-0A6E-45F1-AC21-6AA95907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A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3148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Patrizia Naldini</cp:lastModifiedBy>
  <cp:revision>2</cp:revision>
  <dcterms:created xsi:type="dcterms:W3CDTF">2019-06-20T08:02:00Z</dcterms:created>
  <dcterms:modified xsi:type="dcterms:W3CDTF">2019-06-20T08:02:00Z</dcterms:modified>
</cp:coreProperties>
</file>