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38" w:rsidRPr="009B2D38" w:rsidRDefault="009B2D38" w:rsidP="009B2D38">
      <w:pPr>
        <w:autoSpaceDE w:val="0"/>
        <w:autoSpaceDN w:val="0"/>
        <w:adjustRightInd w:val="0"/>
        <w:spacing w:after="0" w:line="240" w:lineRule="auto"/>
        <w:rPr>
          <w:rFonts w:ascii="Verdana" w:hAnsi="Verdana" w:cs="FedraSansStd-Demi"/>
          <w:b/>
          <w:sz w:val="24"/>
          <w:szCs w:val="24"/>
        </w:rPr>
      </w:pPr>
      <w:bookmarkStart w:id="0" w:name="_GoBack"/>
      <w:bookmarkEnd w:id="0"/>
      <w:r w:rsidRPr="009B2D38">
        <w:rPr>
          <w:rFonts w:ascii="Verdana" w:hAnsi="Verdana" w:cs="FedraSansStd-Demi"/>
          <w:b/>
          <w:sz w:val="24"/>
          <w:szCs w:val="24"/>
        </w:rPr>
        <w:t>UN MONDO NUOVO:</w:t>
      </w:r>
    </w:p>
    <w:p w:rsidR="004970BB" w:rsidRPr="00B87C38" w:rsidRDefault="009B2D38" w:rsidP="009B2D38">
      <w:pPr>
        <w:autoSpaceDE w:val="0"/>
        <w:autoSpaceDN w:val="0"/>
        <w:adjustRightInd w:val="0"/>
        <w:spacing w:after="0" w:line="240" w:lineRule="auto"/>
        <w:rPr>
          <w:rFonts w:ascii="Verdana" w:hAnsi="Verdana" w:cs="FedraSansStd-Demi"/>
          <w:b/>
          <w:sz w:val="24"/>
          <w:szCs w:val="24"/>
        </w:rPr>
      </w:pPr>
      <w:r w:rsidRPr="009B2D38">
        <w:rPr>
          <w:rFonts w:ascii="Verdana" w:hAnsi="Verdana" w:cs="FedraSansStd-Demi"/>
          <w:b/>
          <w:sz w:val="24"/>
          <w:szCs w:val="24"/>
        </w:rPr>
        <w:t>ARTE CLASSICA E INGEGNERIA</w:t>
      </w:r>
      <w:r>
        <w:rPr>
          <w:rFonts w:ascii="Verdana" w:hAnsi="Verdana" w:cs="FedraSansStd-Demi"/>
          <w:b/>
          <w:sz w:val="24"/>
          <w:szCs w:val="24"/>
        </w:rPr>
        <w:t xml:space="preserve"> </w:t>
      </w:r>
      <w:r w:rsidRPr="009B2D38">
        <w:rPr>
          <w:rFonts w:ascii="Verdana" w:hAnsi="Verdana" w:cs="FedraSansStd-Demi"/>
          <w:b/>
          <w:sz w:val="24"/>
          <w:szCs w:val="24"/>
        </w:rPr>
        <w:t>ALLA LIMONAIA DI BOBOLI</w:t>
      </w:r>
    </w:p>
    <w:p w:rsidR="00B87C38" w:rsidRDefault="00B87C38" w:rsidP="004970BB">
      <w:pPr>
        <w:autoSpaceDE w:val="0"/>
        <w:autoSpaceDN w:val="0"/>
        <w:adjustRightInd w:val="0"/>
        <w:spacing w:after="0" w:line="240" w:lineRule="auto"/>
        <w:rPr>
          <w:rFonts w:ascii="Verdana" w:hAnsi="Verdana" w:cs="FedraSansStd-Demi"/>
          <w:sz w:val="24"/>
          <w:szCs w:val="24"/>
        </w:rPr>
      </w:pPr>
    </w:p>
    <w:p w:rsidR="004970BB" w:rsidRDefault="004970BB" w:rsidP="004970BB">
      <w:pPr>
        <w:autoSpaceDE w:val="0"/>
        <w:autoSpaceDN w:val="0"/>
        <w:adjustRightInd w:val="0"/>
        <w:spacing w:after="0" w:line="240" w:lineRule="auto"/>
        <w:rPr>
          <w:rFonts w:ascii="Verdana" w:hAnsi="Verdana" w:cs="FedraSansStd-Demi"/>
          <w:sz w:val="24"/>
          <w:szCs w:val="24"/>
        </w:rPr>
      </w:pPr>
      <w:r>
        <w:rPr>
          <w:rFonts w:ascii="Verdana" w:hAnsi="Verdana" w:cs="FedraSansStd-Demi"/>
          <w:sz w:val="24"/>
          <w:szCs w:val="24"/>
        </w:rPr>
        <w:t>di Eike D. Schmidt</w:t>
      </w:r>
    </w:p>
    <w:p w:rsidR="004970BB" w:rsidRPr="004970BB" w:rsidRDefault="004970BB" w:rsidP="004970BB">
      <w:pPr>
        <w:autoSpaceDE w:val="0"/>
        <w:autoSpaceDN w:val="0"/>
        <w:adjustRightInd w:val="0"/>
        <w:spacing w:after="0" w:line="240" w:lineRule="auto"/>
        <w:rPr>
          <w:rFonts w:ascii="Verdana" w:hAnsi="Verdana" w:cs="PerpetuaStd"/>
          <w:i/>
          <w:sz w:val="24"/>
          <w:szCs w:val="24"/>
        </w:rPr>
      </w:pPr>
      <w:r w:rsidRPr="004970BB">
        <w:rPr>
          <w:rFonts w:ascii="Verdana" w:hAnsi="Verdana" w:cs="FedraSansStd-Demi"/>
          <w:i/>
          <w:sz w:val="24"/>
          <w:szCs w:val="24"/>
        </w:rPr>
        <w:t>Direttore delle Gallerie degli Uffizi</w:t>
      </w:r>
    </w:p>
    <w:p w:rsidR="004970BB" w:rsidRPr="004970BB" w:rsidRDefault="004970BB" w:rsidP="004970BB">
      <w:pPr>
        <w:autoSpaceDE w:val="0"/>
        <w:autoSpaceDN w:val="0"/>
        <w:adjustRightInd w:val="0"/>
        <w:spacing w:after="0" w:line="240" w:lineRule="auto"/>
        <w:rPr>
          <w:rFonts w:ascii="Verdana" w:hAnsi="Verdana" w:cs="PerpetuaStd"/>
          <w:sz w:val="26"/>
          <w:szCs w:val="26"/>
        </w:rPr>
      </w:pPr>
    </w:p>
    <w:p w:rsidR="004970BB" w:rsidRDefault="004970BB" w:rsidP="004970BB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  <w:sz w:val="24"/>
          <w:szCs w:val="24"/>
        </w:rPr>
      </w:pPr>
    </w:p>
    <w:p w:rsidR="009B2D38" w:rsidRPr="009B2D38" w:rsidRDefault="009B2D38" w:rsidP="009B2D38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</w:rPr>
      </w:pPr>
      <w:r w:rsidRPr="009B2D38">
        <w:rPr>
          <w:rFonts w:ascii="Verdana" w:hAnsi="Verdana" w:cs="PerpetuaStd"/>
        </w:rPr>
        <w:t>Se, come succedeva ai visitatori dell’inizio del XIX secolo, entrassimo nel giardino di Boboli dal suo</w:t>
      </w:r>
      <w:r>
        <w:rPr>
          <w:rFonts w:ascii="Verdana" w:hAnsi="Verdana" w:cs="PerpetuaStd"/>
        </w:rPr>
        <w:t xml:space="preserve"> </w:t>
      </w:r>
      <w:r w:rsidRPr="009B2D38">
        <w:rPr>
          <w:rFonts w:ascii="Verdana" w:hAnsi="Verdana" w:cs="PerpetuaStd"/>
        </w:rPr>
        <w:t>originario ingresso settentrionale, oggi noto come Rondò di Bacco, le prime sculture antiche che apparirebbero</w:t>
      </w:r>
      <w:r>
        <w:rPr>
          <w:rFonts w:ascii="Verdana" w:hAnsi="Verdana" w:cs="PerpetuaStd"/>
        </w:rPr>
        <w:t xml:space="preserve"> </w:t>
      </w:r>
      <w:r w:rsidRPr="009B2D38">
        <w:rPr>
          <w:rFonts w:ascii="Verdana" w:hAnsi="Verdana" w:cs="PerpetuaStd"/>
        </w:rPr>
        <w:t>al nostro sguardo sarebbero i due Daci in porfido rosso. Della folla di statue classiche, oltre un centinaio,</w:t>
      </w:r>
      <w:r>
        <w:rPr>
          <w:rFonts w:ascii="Verdana" w:hAnsi="Verdana" w:cs="PerpetuaStd"/>
        </w:rPr>
        <w:t xml:space="preserve"> </w:t>
      </w:r>
      <w:r w:rsidRPr="009B2D38">
        <w:rPr>
          <w:rFonts w:ascii="Verdana" w:hAnsi="Verdana" w:cs="PerpetuaStd"/>
        </w:rPr>
        <w:t>che popolano i viali e i boschi dell’immenso parco, furono proprio queste due preziose reliquie dell’arredo</w:t>
      </w:r>
      <w:r>
        <w:rPr>
          <w:rFonts w:ascii="Verdana" w:hAnsi="Verdana" w:cs="PerpetuaStd"/>
        </w:rPr>
        <w:t xml:space="preserve"> </w:t>
      </w:r>
      <w:r w:rsidRPr="009B2D38">
        <w:rPr>
          <w:rFonts w:ascii="Verdana" w:hAnsi="Verdana" w:cs="PerpetuaStd"/>
        </w:rPr>
        <w:t>scultoreo del foro traianeo a rappresentare, nella Firenze medicea, la sintesi compiuta della grandiosità della</w:t>
      </w:r>
      <w:r>
        <w:rPr>
          <w:rFonts w:ascii="Verdana" w:hAnsi="Verdana" w:cs="PerpetuaStd"/>
        </w:rPr>
        <w:t xml:space="preserve"> </w:t>
      </w:r>
      <w:r w:rsidRPr="009B2D38">
        <w:rPr>
          <w:rFonts w:ascii="Verdana" w:hAnsi="Verdana" w:cs="PerpetuaStd"/>
        </w:rPr>
        <w:t>Roma imperiale e lo sfarzo della sua arte. Anche se molti altri frammenti di quell’immenso universo architettonico</w:t>
      </w:r>
      <w:r>
        <w:rPr>
          <w:rFonts w:ascii="Verdana" w:hAnsi="Verdana" w:cs="PerpetuaStd"/>
        </w:rPr>
        <w:t xml:space="preserve"> </w:t>
      </w:r>
      <w:r w:rsidRPr="009B2D38">
        <w:rPr>
          <w:rFonts w:ascii="Verdana" w:hAnsi="Verdana" w:cs="PerpetuaStd"/>
        </w:rPr>
        <w:t xml:space="preserve">che fu il </w:t>
      </w:r>
      <w:r w:rsidRPr="009B2D38">
        <w:rPr>
          <w:rFonts w:ascii="Verdana" w:hAnsi="Verdana" w:cs="PerpetuaStd"/>
          <w:i/>
        </w:rPr>
        <w:t>Forum Ulpium</w:t>
      </w:r>
      <w:r w:rsidRPr="009B2D38">
        <w:rPr>
          <w:rFonts w:ascii="Verdana" w:hAnsi="Verdana" w:cs="PerpetuaStd"/>
        </w:rPr>
        <w:t xml:space="preserve"> sono presenti nelle collezioni delle Gallerie degli Uffizi (penso alle gigantesche</w:t>
      </w:r>
      <w:r>
        <w:rPr>
          <w:rFonts w:ascii="Verdana" w:hAnsi="Verdana" w:cs="PerpetuaStd"/>
        </w:rPr>
        <w:t xml:space="preserve"> </w:t>
      </w:r>
      <w:r w:rsidRPr="009B2D38">
        <w:rPr>
          <w:rFonts w:ascii="Verdana" w:hAnsi="Verdana" w:cs="PerpetuaStd"/>
        </w:rPr>
        <w:t>figure femminili del ciclo della gens imperiale sistemate sotto la Loggia dei Lanzi o alla solenne figura di Dace</w:t>
      </w:r>
      <w:r>
        <w:rPr>
          <w:rFonts w:ascii="Verdana" w:hAnsi="Verdana" w:cs="PerpetuaStd"/>
        </w:rPr>
        <w:t xml:space="preserve"> </w:t>
      </w:r>
      <w:r w:rsidRPr="009B2D38">
        <w:rPr>
          <w:rFonts w:ascii="Verdana" w:hAnsi="Verdana" w:cs="PerpetuaStd"/>
        </w:rPr>
        <w:t>della Galleria Palatina), le due sentinelle porfiretiche poste a guardia dell’accesso a Boboli forniscono la prova</w:t>
      </w:r>
      <w:r>
        <w:rPr>
          <w:rFonts w:ascii="Verdana" w:hAnsi="Verdana" w:cs="PerpetuaStd"/>
        </w:rPr>
        <w:t xml:space="preserve"> </w:t>
      </w:r>
      <w:r w:rsidRPr="009B2D38">
        <w:rPr>
          <w:rFonts w:ascii="Verdana" w:hAnsi="Verdana" w:cs="PerpetuaStd"/>
        </w:rPr>
        <w:t>più evidente del destino che lega questo luogo alla Colonna Traiana e al suo mito. Nessun altro contesto se</w:t>
      </w:r>
      <w:r>
        <w:rPr>
          <w:rFonts w:ascii="Verdana" w:hAnsi="Verdana" w:cs="PerpetuaStd"/>
        </w:rPr>
        <w:t xml:space="preserve"> </w:t>
      </w:r>
      <w:r w:rsidRPr="009B2D38">
        <w:rPr>
          <w:rFonts w:ascii="Verdana" w:hAnsi="Verdana" w:cs="PerpetuaStd"/>
        </w:rPr>
        <w:t xml:space="preserve">non il giardino di Boboli (esso stesso, del resto, una sorta di traduzione rinascimentale degli </w:t>
      </w:r>
      <w:r w:rsidRPr="009B2D38">
        <w:rPr>
          <w:rFonts w:ascii="Verdana" w:hAnsi="Verdana" w:cs="PerpetuaStd"/>
          <w:i/>
        </w:rPr>
        <w:t>horti</w:t>
      </w:r>
      <w:r w:rsidRPr="009B2D38">
        <w:rPr>
          <w:rFonts w:ascii="Verdana" w:hAnsi="Verdana" w:cs="PerpetuaStd"/>
        </w:rPr>
        <w:t xml:space="preserve"> imperiali che</w:t>
      </w:r>
      <w:r>
        <w:rPr>
          <w:rFonts w:ascii="Verdana" w:hAnsi="Verdana" w:cs="PerpetuaStd"/>
        </w:rPr>
        <w:t xml:space="preserve"> </w:t>
      </w:r>
      <w:r w:rsidRPr="009B2D38">
        <w:rPr>
          <w:rFonts w:ascii="Verdana" w:hAnsi="Verdana" w:cs="PerpetuaStd"/>
        </w:rPr>
        <w:t>circondavano Roma), sembra più adatto a far rivivere la fortuna e la fama di un monumento che da sempre è</w:t>
      </w:r>
      <w:r>
        <w:rPr>
          <w:rFonts w:ascii="Verdana" w:hAnsi="Verdana" w:cs="PerpetuaStd"/>
        </w:rPr>
        <w:t xml:space="preserve"> </w:t>
      </w:r>
      <w:r w:rsidRPr="009B2D38">
        <w:rPr>
          <w:rFonts w:ascii="Verdana" w:hAnsi="Verdana" w:cs="PerpetuaStd"/>
        </w:rPr>
        <w:t>stato sentito come paradigma della gloria della Città Eterna. Non è certo un caso che il Senato di Roma già</w:t>
      </w:r>
      <w:r>
        <w:rPr>
          <w:rFonts w:ascii="Verdana" w:hAnsi="Verdana" w:cs="PerpetuaStd"/>
        </w:rPr>
        <w:t xml:space="preserve"> </w:t>
      </w:r>
      <w:r w:rsidRPr="009B2D38">
        <w:rPr>
          <w:rFonts w:ascii="Verdana" w:hAnsi="Verdana" w:cs="PerpetuaStd"/>
        </w:rPr>
        <w:t>nel 1162, secoli prima dunque che l’Umanesimo riscoprisse il valore e la bellezza dell’Antico, avesse deciso di</w:t>
      </w:r>
      <w:r>
        <w:rPr>
          <w:rFonts w:ascii="Verdana" w:hAnsi="Verdana" w:cs="PerpetuaStd"/>
        </w:rPr>
        <w:t xml:space="preserve"> </w:t>
      </w:r>
      <w:r w:rsidRPr="009B2D38">
        <w:rPr>
          <w:rFonts w:ascii="Verdana" w:hAnsi="Verdana" w:cs="PerpetuaStd"/>
        </w:rPr>
        <w:t>tutelare la colonna «per tutta l’eternità, finché il mondo durerà, al fine di salvaguardare l’onore del Comune di</w:t>
      </w:r>
      <w:r>
        <w:rPr>
          <w:rFonts w:ascii="Verdana" w:hAnsi="Verdana" w:cs="PerpetuaStd"/>
        </w:rPr>
        <w:t xml:space="preserve"> </w:t>
      </w:r>
      <w:r w:rsidRPr="009B2D38">
        <w:rPr>
          <w:rFonts w:ascii="Verdana" w:hAnsi="Verdana" w:cs="PerpetuaStd"/>
        </w:rPr>
        <w:t>Roma per sempre». Da allora, su questo caposaldo della cultura occidentale, antiquari, artisti, storici, esteti ed</w:t>
      </w:r>
      <w:r>
        <w:rPr>
          <w:rFonts w:ascii="Verdana" w:hAnsi="Verdana" w:cs="PerpetuaStd"/>
        </w:rPr>
        <w:t xml:space="preserve"> </w:t>
      </w:r>
      <w:r w:rsidRPr="009B2D38">
        <w:rPr>
          <w:rFonts w:ascii="Verdana" w:hAnsi="Verdana" w:cs="PerpetuaStd"/>
        </w:rPr>
        <w:t>archeologi hanno scritto volumi sufficienti per riempire intere biblioteche.</w:t>
      </w:r>
    </w:p>
    <w:p w:rsidR="009B2D38" w:rsidRDefault="009B2D38" w:rsidP="009B2D38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</w:rPr>
      </w:pPr>
    </w:p>
    <w:p w:rsidR="009B2D38" w:rsidRPr="009B2D38" w:rsidRDefault="009B2D38" w:rsidP="009B2D38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</w:rPr>
      </w:pPr>
      <w:r w:rsidRPr="009B2D38">
        <w:rPr>
          <w:rFonts w:ascii="Verdana" w:hAnsi="Verdana" w:cs="PerpetuaStd"/>
        </w:rPr>
        <w:t>Mai, però, si era prestata sufficiente attenzione a quale stupefacente prodotto d’ingegneria sia stata</w:t>
      </w:r>
      <w:r>
        <w:rPr>
          <w:rFonts w:ascii="Verdana" w:hAnsi="Verdana" w:cs="PerpetuaStd"/>
        </w:rPr>
        <w:t xml:space="preserve"> </w:t>
      </w:r>
      <w:r w:rsidRPr="009B2D38">
        <w:rPr>
          <w:rFonts w:ascii="Verdana" w:hAnsi="Verdana" w:cs="PerpetuaStd"/>
        </w:rPr>
        <w:t>quella colonna centenaria (alta, cioè, cento piedi romani) che, col suo basamento, arriva a sfiorare i quaranta</w:t>
      </w:r>
      <w:r>
        <w:rPr>
          <w:rFonts w:ascii="Verdana" w:hAnsi="Verdana" w:cs="PerpetuaStd"/>
        </w:rPr>
        <w:t xml:space="preserve"> </w:t>
      </w:r>
      <w:r w:rsidRPr="009B2D38">
        <w:rPr>
          <w:rFonts w:ascii="Verdana" w:hAnsi="Verdana" w:cs="PerpetuaStd"/>
        </w:rPr>
        <w:t>metri di altezza. È merito di Giovanni Di Pasquale averci rivelato questo lato nascosto di un monumento senza</w:t>
      </w:r>
      <w:r>
        <w:rPr>
          <w:rFonts w:ascii="Verdana" w:hAnsi="Verdana" w:cs="PerpetuaStd"/>
        </w:rPr>
        <w:t xml:space="preserve"> </w:t>
      </w:r>
      <w:r w:rsidRPr="009B2D38">
        <w:rPr>
          <w:rFonts w:ascii="Verdana" w:hAnsi="Verdana" w:cs="PerpetuaStd"/>
        </w:rPr>
        <w:t>pari, ricomponendo con metodo e rigore le complesse fasi di un miracolo architettonico reso possibile grazie</w:t>
      </w:r>
      <w:r>
        <w:rPr>
          <w:rFonts w:ascii="Verdana" w:hAnsi="Verdana" w:cs="PerpetuaStd"/>
        </w:rPr>
        <w:t xml:space="preserve"> </w:t>
      </w:r>
      <w:r w:rsidRPr="009B2D38">
        <w:rPr>
          <w:rFonts w:ascii="Verdana" w:hAnsi="Verdana" w:cs="PerpetuaStd"/>
        </w:rPr>
        <w:t>a un’ineguagliabile capacità organizzativa, ingegneristica e scultorea. Tuttavia, solo un artista del calibro di</w:t>
      </w:r>
      <w:r>
        <w:rPr>
          <w:rFonts w:ascii="Verdana" w:hAnsi="Verdana" w:cs="PerpetuaStd"/>
        </w:rPr>
        <w:t xml:space="preserve"> </w:t>
      </w:r>
      <w:r w:rsidRPr="009B2D38">
        <w:rPr>
          <w:rFonts w:ascii="Verdana" w:hAnsi="Verdana" w:cs="PerpetuaStd"/>
        </w:rPr>
        <w:t xml:space="preserve">Claudio Capotondi poteva restituire forma e vita </w:t>
      </w:r>
      <w:r w:rsidRPr="009B2D38">
        <w:rPr>
          <w:rFonts w:ascii="Verdana" w:hAnsi="Verdana" w:cs="PerpetuaStd"/>
        </w:rPr>
        <w:lastRenderedPageBreak/>
        <w:t>a questa travagliata genesi costruttiva con modelli dettagliati</w:t>
      </w:r>
      <w:r>
        <w:rPr>
          <w:rFonts w:ascii="Verdana" w:hAnsi="Verdana" w:cs="PerpetuaStd"/>
        </w:rPr>
        <w:t xml:space="preserve"> </w:t>
      </w:r>
      <w:r w:rsidRPr="009B2D38">
        <w:rPr>
          <w:rFonts w:ascii="Verdana" w:hAnsi="Verdana" w:cs="PerpetuaStd"/>
        </w:rPr>
        <w:t>e schizzi di rara efficacia e potenza, nei quali il suo tratto nitido e sintetico ha immaginato – con l’esperienza</w:t>
      </w:r>
      <w:r>
        <w:rPr>
          <w:rFonts w:ascii="Verdana" w:hAnsi="Verdana" w:cs="PerpetuaStd"/>
        </w:rPr>
        <w:t xml:space="preserve"> </w:t>
      </w:r>
      <w:r w:rsidRPr="009B2D38">
        <w:rPr>
          <w:rFonts w:ascii="Verdana" w:hAnsi="Verdana" w:cs="PerpetuaStd"/>
        </w:rPr>
        <w:t>di chi da una vita lavora con il marmo – i gesti, gli strumenti e le soluzioni che crearono un colosso degno di</w:t>
      </w:r>
      <w:r>
        <w:rPr>
          <w:rFonts w:ascii="Verdana" w:hAnsi="Verdana" w:cs="PerpetuaStd"/>
        </w:rPr>
        <w:t xml:space="preserve"> </w:t>
      </w:r>
      <w:r w:rsidRPr="009B2D38">
        <w:rPr>
          <w:rFonts w:ascii="Verdana" w:hAnsi="Verdana" w:cs="PerpetuaStd"/>
        </w:rPr>
        <w:t>rivaleggiare con le sette meraviglie del mondo antico.</w:t>
      </w:r>
    </w:p>
    <w:p w:rsidR="009B2D38" w:rsidRDefault="009B2D38" w:rsidP="009B2D38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</w:rPr>
      </w:pPr>
    </w:p>
    <w:p w:rsidR="00B87C38" w:rsidRPr="00581ABD" w:rsidRDefault="009B2D38" w:rsidP="009B2D38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</w:rPr>
      </w:pPr>
      <w:r w:rsidRPr="009B2D38">
        <w:rPr>
          <w:rFonts w:ascii="Verdana" w:hAnsi="Verdana" w:cs="PerpetuaStd"/>
        </w:rPr>
        <w:t>La consapevolezza dell’ottimo risultato raggiunto e dell’originalità del progetto, premessa irrinunciabile</w:t>
      </w:r>
      <w:r>
        <w:rPr>
          <w:rFonts w:ascii="Verdana" w:hAnsi="Verdana" w:cs="PerpetuaStd"/>
        </w:rPr>
        <w:t xml:space="preserve"> </w:t>
      </w:r>
      <w:r w:rsidRPr="009B2D38">
        <w:rPr>
          <w:rFonts w:ascii="Verdana" w:hAnsi="Verdana" w:cs="PerpetuaStd"/>
        </w:rPr>
        <w:t>di ogni buona mostra, mi confermano quali siano i fruttuosi vantaggi della collaborazione fra due istituzioni</w:t>
      </w:r>
      <w:r>
        <w:rPr>
          <w:rFonts w:ascii="Verdana" w:hAnsi="Verdana" w:cs="PerpetuaStd"/>
        </w:rPr>
        <w:t xml:space="preserve"> </w:t>
      </w:r>
      <w:r w:rsidRPr="009B2D38">
        <w:rPr>
          <w:rFonts w:ascii="Verdana" w:hAnsi="Verdana" w:cs="PerpetuaStd"/>
        </w:rPr>
        <w:t>di punta della nostra città come il Museo Galileo e le Gallerie degli Uffizi. Dopo il grande successo di pubblico</w:t>
      </w:r>
      <w:r>
        <w:rPr>
          <w:rFonts w:ascii="Verdana" w:hAnsi="Verdana" w:cs="PerpetuaStd"/>
        </w:rPr>
        <w:t xml:space="preserve"> </w:t>
      </w:r>
      <w:r w:rsidRPr="009B2D38">
        <w:rPr>
          <w:rFonts w:ascii="Verdana" w:hAnsi="Verdana" w:cs="PerpetuaStd"/>
        </w:rPr>
        <w:t xml:space="preserve">e di critica dell’esposizione </w:t>
      </w:r>
      <w:r w:rsidRPr="009B2D38">
        <w:rPr>
          <w:rFonts w:ascii="Verdana" w:hAnsi="Verdana" w:cs="PerpetuaStd"/>
          <w:i/>
        </w:rPr>
        <w:t>L’acqua microscopio della Natura. Il Codice Leicester di Leonardo da Vinci</w:t>
      </w:r>
      <w:r w:rsidRPr="009B2D38">
        <w:rPr>
          <w:rFonts w:ascii="Verdana" w:hAnsi="Verdana" w:cs="PerpetuaStd"/>
        </w:rPr>
        <w:t>, chiusa appena</w:t>
      </w:r>
      <w:r>
        <w:rPr>
          <w:rFonts w:ascii="Verdana" w:hAnsi="Verdana" w:cs="PerpetuaStd"/>
        </w:rPr>
        <w:t xml:space="preserve"> </w:t>
      </w:r>
      <w:r w:rsidRPr="009B2D38">
        <w:rPr>
          <w:rFonts w:ascii="Verdana" w:hAnsi="Verdana" w:cs="PerpetuaStd"/>
        </w:rPr>
        <w:t>pochi mesi fa, con questo nuovo capitolo il connubio fra arte e scienza si mostra, ancora una volta, una riserva</w:t>
      </w:r>
      <w:r>
        <w:rPr>
          <w:rFonts w:ascii="Verdana" w:hAnsi="Verdana" w:cs="PerpetuaStd"/>
        </w:rPr>
        <w:t xml:space="preserve"> </w:t>
      </w:r>
      <w:r w:rsidRPr="009B2D38">
        <w:rPr>
          <w:rFonts w:ascii="Verdana" w:hAnsi="Verdana" w:cs="PerpetuaStd"/>
        </w:rPr>
        <w:t>inesauribile. Un simile approccio non solo rende possibile l’esplorazione di ulteriori campi della conoscenza,</w:t>
      </w:r>
      <w:r>
        <w:rPr>
          <w:rFonts w:ascii="Verdana" w:hAnsi="Verdana" w:cs="PerpetuaStd"/>
        </w:rPr>
        <w:t xml:space="preserve"> </w:t>
      </w:r>
      <w:r w:rsidRPr="009B2D38">
        <w:rPr>
          <w:rFonts w:ascii="Verdana" w:hAnsi="Verdana" w:cs="PerpetuaStd"/>
        </w:rPr>
        <w:t>ma dà vita a percorsi espositivi inediti e coinvolgenti destinati a sedurre esperti e semplici curiosi.</w:t>
      </w:r>
    </w:p>
    <w:sectPr w:rsidR="00B87C38" w:rsidRPr="00581ABD" w:rsidSect="00834A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draSans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rpetuaStd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BB"/>
    <w:rsid w:val="00023CE9"/>
    <w:rsid w:val="00084C66"/>
    <w:rsid w:val="00125C6A"/>
    <w:rsid w:val="00331F66"/>
    <w:rsid w:val="00377E35"/>
    <w:rsid w:val="004970BB"/>
    <w:rsid w:val="00581ABD"/>
    <w:rsid w:val="00643E65"/>
    <w:rsid w:val="00834A8F"/>
    <w:rsid w:val="009B2D38"/>
    <w:rsid w:val="00B87C38"/>
    <w:rsid w:val="00C404C7"/>
    <w:rsid w:val="00C4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55E5B-0A6E-45F1-AC21-6AA95907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4A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3148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Opera L. F. Spa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Becherini</dc:creator>
  <cp:keywords/>
  <dc:description/>
  <cp:lastModifiedBy>Patrizia Naldini</cp:lastModifiedBy>
  <cp:revision>2</cp:revision>
  <dcterms:created xsi:type="dcterms:W3CDTF">2019-06-20T08:02:00Z</dcterms:created>
  <dcterms:modified xsi:type="dcterms:W3CDTF">2019-06-20T08:02:00Z</dcterms:modified>
</cp:coreProperties>
</file>