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67" w:rsidRDefault="007A007D" w:rsidP="00251667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b/>
          <w:sz w:val="24"/>
          <w:szCs w:val="24"/>
        </w:rPr>
      </w:pPr>
      <w:bookmarkStart w:id="0" w:name="_GoBack"/>
      <w:bookmarkEnd w:id="0"/>
      <w:r w:rsidRPr="00251667">
        <w:rPr>
          <w:rFonts w:ascii="Verdana" w:hAnsi="Verdana" w:cs="FedraSansStd-Demi"/>
          <w:b/>
          <w:sz w:val="24"/>
          <w:szCs w:val="24"/>
        </w:rPr>
        <w:t>A NEW WORLD:</w:t>
      </w:r>
      <w:r>
        <w:rPr>
          <w:rFonts w:ascii="Verdana" w:hAnsi="Verdana" w:cs="FedraSansStd-Demi"/>
          <w:b/>
          <w:sz w:val="24"/>
          <w:szCs w:val="24"/>
        </w:rPr>
        <w:t xml:space="preserve"> </w:t>
      </w:r>
      <w:r w:rsidRPr="00251667">
        <w:rPr>
          <w:rFonts w:ascii="Verdana" w:hAnsi="Verdana" w:cs="FedraSansStd-Demi"/>
          <w:b/>
          <w:sz w:val="24"/>
          <w:szCs w:val="24"/>
        </w:rPr>
        <w:t>CLASSIC ART AND ENGINEERING</w:t>
      </w:r>
      <w:r>
        <w:rPr>
          <w:rFonts w:ascii="Verdana" w:hAnsi="Verdana" w:cs="FedraSansStd-Demi"/>
          <w:b/>
          <w:sz w:val="24"/>
          <w:szCs w:val="24"/>
        </w:rPr>
        <w:t xml:space="preserve"> </w:t>
      </w:r>
      <w:r w:rsidRPr="00251667">
        <w:rPr>
          <w:rFonts w:ascii="Verdana" w:hAnsi="Verdana" w:cs="FedraSansStd-Demi"/>
          <w:b/>
          <w:sz w:val="24"/>
          <w:szCs w:val="24"/>
        </w:rPr>
        <w:t xml:space="preserve">MARVELS </w:t>
      </w:r>
    </w:p>
    <w:p w:rsidR="004970BB" w:rsidRPr="00B87C38" w:rsidRDefault="007A007D" w:rsidP="00251667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b/>
          <w:sz w:val="24"/>
          <w:szCs w:val="24"/>
        </w:rPr>
      </w:pPr>
      <w:r w:rsidRPr="00251667">
        <w:rPr>
          <w:rFonts w:ascii="Verdana" w:hAnsi="Verdana" w:cs="FedraSansStd-Demi"/>
          <w:b/>
          <w:sz w:val="24"/>
          <w:szCs w:val="24"/>
        </w:rPr>
        <w:t>AT THE LIMONAIA</w:t>
      </w:r>
      <w:r>
        <w:rPr>
          <w:rFonts w:ascii="Verdana" w:hAnsi="Verdana" w:cs="FedraSansStd-Demi"/>
          <w:b/>
          <w:sz w:val="24"/>
          <w:szCs w:val="24"/>
        </w:rPr>
        <w:t xml:space="preserve"> </w:t>
      </w:r>
      <w:r w:rsidRPr="00251667">
        <w:rPr>
          <w:rFonts w:ascii="Verdana" w:hAnsi="Verdana" w:cs="FedraSansStd-Demi"/>
          <w:b/>
          <w:sz w:val="24"/>
          <w:szCs w:val="24"/>
        </w:rPr>
        <w:t>OF THE BOBOLI GARDENS</w:t>
      </w:r>
    </w:p>
    <w:p w:rsidR="00B87C38" w:rsidRDefault="00B87C38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</w:p>
    <w:p w:rsidR="004970BB" w:rsidRDefault="004970BB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  <w:r>
        <w:rPr>
          <w:rFonts w:ascii="Verdana" w:hAnsi="Verdana" w:cs="FedraSansStd-Demi"/>
          <w:sz w:val="24"/>
          <w:szCs w:val="24"/>
        </w:rPr>
        <w:t>Eike D. Schmidt</w:t>
      </w:r>
    </w:p>
    <w:p w:rsidR="004970BB" w:rsidRPr="004970BB" w:rsidRDefault="00251667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PerpetuaStd"/>
          <w:i/>
          <w:sz w:val="24"/>
          <w:szCs w:val="24"/>
        </w:rPr>
      </w:pPr>
      <w:r w:rsidRPr="00251667">
        <w:rPr>
          <w:rFonts w:ascii="Verdana" w:hAnsi="Verdana" w:cs="FedraSansStd-Demi"/>
          <w:i/>
          <w:sz w:val="24"/>
          <w:szCs w:val="24"/>
        </w:rPr>
        <w:t>Director of the Gallerie degli Uffizi</w:t>
      </w:r>
    </w:p>
    <w:p w:rsidR="004970BB" w:rsidRPr="004970BB" w:rsidRDefault="004970BB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PerpetuaStd"/>
          <w:sz w:val="26"/>
          <w:szCs w:val="26"/>
        </w:rPr>
      </w:pPr>
    </w:p>
    <w:p w:rsidR="004970BB" w:rsidRDefault="004970BB" w:rsidP="004970BB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</w:p>
    <w:p w:rsidR="00251667" w:rsidRDefault="00251667" w:rsidP="00251667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251667">
        <w:rPr>
          <w:rFonts w:ascii="Verdana" w:hAnsi="Verdana" w:cs="PerpetuaStd"/>
        </w:rPr>
        <w:t>If we were to enter the Boboli Gardens, as early 19th-century visitors did, through the original north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entrance, now known as the “Rondò di Bacco,” the first ancient sculptures appearing in our view would be the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two red porphyry Dacians. Of the many classical sculptures – more than a hundred in all – that grace the paths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and woods of this immense park, it was these two precious relics of the sculptural ornamentation of Trajan’s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Forum which, in Medici Florence, represented the perfect synthesis of the grandeur of imperial Rome and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 xml:space="preserve">the splendour of its art. While many other fragments of the immense architectural universe that was the </w:t>
      </w:r>
      <w:r w:rsidRPr="00251667">
        <w:rPr>
          <w:rFonts w:ascii="Verdana" w:hAnsi="Verdana" w:cs="PerpetuaStd"/>
          <w:i/>
          <w:iCs/>
        </w:rPr>
        <w:t>Forum</w:t>
      </w:r>
      <w:r>
        <w:rPr>
          <w:rFonts w:ascii="Verdana" w:hAnsi="Verdana" w:cs="PerpetuaStd"/>
          <w:i/>
          <w:iCs/>
        </w:rPr>
        <w:t xml:space="preserve"> </w:t>
      </w:r>
      <w:r w:rsidRPr="00251667">
        <w:rPr>
          <w:rFonts w:ascii="Verdana" w:hAnsi="Verdana" w:cs="PerpetuaStd"/>
          <w:i/>
          <w:iCs/>
        </w:rPr>
        <w:t xml:space="preserve">Ulpium </w:t>
      </w:r>
      <w:r w:rsidRPr="00251667">
        <w:rPr>
          <w:rFonts w:ascii="Verdana" w:hAnsi="Verdana" w:cs="PerpetuaStd"/>
        </w:rPr>
        <w:t>are present in the Uffizi collections (the giant female figures of the imperial lineage installed under the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Loggia dei Lanzi and the solemn Dacian in the Palatine Gallery immediately come to mind), the two porphyry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sentries standing guard at the gardens’ entrance provide the clearest evidence of the destiny that binds this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place to Trajan’s Column and its myth. No place other than Boboli (itself a sort of Renaissance translation of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 xml:space="preserve">the imperial </w:t>
      </w:r>
      <w:r w:rsidRPr="00251667">
        <w:rPr>
          <w:rFonts w:ascii="Verdana" w:hAnsi="Verdana" w:cs="PerpetuaStd"/>
          <w:i/>
          <w:iCs/>
        </w:rPr>
        <w:t xml:space="preserve">horti </w:t>
      </w:r>
      <w:r w:rsidRPr="00251667">
        <w:rPr>
          <w:rFonts w:ascii="Verdana" w:hAnsi="Verdana" w:cs="PerpetuaStd"/>
        </w:rPr>
        <w:t>that surrounded ancient Rome) seems more appropriate for recreating the fame and fortunes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of a monument that has always been perceived as a paradigm of the glory of the Eternal City. It’s certainly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no coincidence that the Roman Senate, as far back as 1162 – centuries before humanism rediscovered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the value and beauty of antiquity – decided to protect the Column “throughout eternity, until the end of the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world, in order to safeguard the honour of the City of Rome forever”</w:t>
      </w:r>
      <w:r w:rsidR="00744ADB">
        <w:rPr>
          <w:rFonts w:ascii="Verdana" w:hAnsi="Verdana" w:cs="PerpetuaStd"/>
        </w:rPr>
        <w:t>.</w:t>
      </w:r>
      <w:r w:rsidRPr="00251667">
        <w:rPr>
          <w:rFonts w:ascii="Verdana" w:hAnsi="Verdana" w:cs="PerpetuaStd"/>
        </w:rPr>
        <w:t xml:space="preserve"> Ever since, antiquarians, artists, historians,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connoisseurs and archaeologists have written enough volumes about this pillar of Western culture to fill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entire libraries.</w:t>
      </w:r>
    </w:p>
    <w:p w:rsidR="00251667" w:rsidRPr="00251667" w:rsidRDefault="00251667" w:rsidP="00251667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</w:p>
    <w:p w:rsidR="00251667" w:rsidRPr="00251667" w:rsidRDefault="00251667" w:rsidP="00251667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251667">
        <w:rPr>
          <w:rFonts w:ascii="Verdana" w:hAnsi="Verdana" w:cs="PerpetuaStd"/>
        </w:rPr>
        <w:t>Never before, however, has sufficient attention been focused on the stupefying feat of engineering represented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by that “centenary” column (so called due to its height of one hundred Roman feet), which, pedestal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included, soars upwards for nearly forty meters. Merit must go to Giovanni Di Pasquale for revealing to us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this hidden side of a peerless monument, reconstructing with rigour and method the complex phases of an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architectural miracle made possible thanks to incomparable organizational, engineering and sculptural ability.</w:t>
      </w:r>
    </w:p>
    <w:p w:rsidR="00251667" w:rsidRDefault="00251667" w:rsidP="00251667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251667">
        <w:rPr>
          <w:rFonts w:ascii="Verdana" w:hAnsi="Verdana" w:cs="PerpetuaStd"/>
        </w:rPr>
        <w:lastRenderedPageBreak/>
        <w:t>Only an artist of the calibre of Claudio Capotondi, however, could restore form and life to this incredible feat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of building with detailed models and sketches of rare precision and power, in which his clear, concise style has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imagined – with the aid of a lifetime of experience working with marble – the gestures, tools and solutions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that created a colossus worthy of rivalling the Seven Wonders of the Ancient World.</w:t>
      </w:r>
    </w:p>
    <w:p w:rsidR="00251667" w:rsidRPr="00251667" w:rsidRDefault="00251667" w:rsidP="00251667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</w:p>
    <w:p w:rsidR="00B87C38" w:rsidRPr="00581ABD" w:rsidRDefault="00251667" w:rsidP="00251667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251667">
        <w:rPr>
          <w:rFonts w:ascii="Verdana" w:hAnsi="Verdana" w:cs="PerpetuaStd"/>
        </w:rPr>
        <w:t>The excellent results achieved and the originality of the project, an essential premise for any good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exhibition, confirm the benefits of the fruitful collaboration between two of our city’s leading institutions, the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Museo Galileo and the Uffizi Galleries. On the heels of the resounding popular and critical success of the exhibition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  <w:i/>
          <w:iCs/>
        </w:rPr>
        <w:t>Water as Microscope of Nature. Leonardo da Vinci’s Codex Leicester</w:t>
      </w:r>
      <w:r w:rsidRPr="00251667">
        <w:rPr>
          <w:rFonts w:ascii="Verdana" w:hAnsi="Verdana" w:cs="PerpetuaStd"/>
        </w:rPr>
        <w:t>, which closed just a few months ago, with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this new chapter the pairing of art and science reveals itself yet again to be a truly inexhaustible reservoir. Such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an approach not only enables the exploration of as-yet inadequately explored fields of knowledge, but gives life</w:t>
      </w:r>
      <w:r>
        <w:rPr>
          <w:rFonts w:ascii="Verdana" w:hAnsi="Verdana" w:cs="PerpetuaStd"/>
        </w:rPr>
        <w:t xml:space="preserve"> </w:t>
      </w:r>
      <w:r w:rsidRPr="00251667">
        <w:rPr>
          <w:rFonts w:ascii="Verdana" w:hAnsi="Verdana" w:cs="PerpetuaStd"/>
        </w:rPr>
        <w:t>to original and intriguing exhibition itineraries destined to captivate both experts and the general public.</w:t>
      </w:r>
    </w:p>
    <w:sectPr w:rsidR="00B87C38" w:rsidRPr="00581ABD" w:rsidSect="00834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Std">
    <w:altName w:val="Calibr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BB"/>
    <w:rsid w:val="00023CE9"/>
    <w:rsid w:val="00084C66"/>
    <w:rsid w:val="00125C6A"/>
    <w:rsid w:val="00251667"/>
    <w:rsid w:val="00331F66"/>
    <w:rsid w:val="004970BB"/>
    <w:rsid w:val="00581ABD"/>
    <w:rsid w:val="006304A3"/>
    <w:rsid w:val="00643E65"/>
    <w:rsid w:val="00744ADB"/>
    <w:rsid w:val="007A007D"/>
    <w:rsid w:val="00834A8F"/>
    <w:rsid w:val="0090586A"/>
    <w:rsid w:val="009B2D38"/>
    <w:rsid w:val="00B87C38"/>
    <w:rsid w:val="00C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55E5B-0A6E-45F1-AC21-6AA95907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Opera L. F. Spa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Becherini</dc:creator>
  <cp:keywords/>
  <dc:description/>
  <cp:lastModifiedBy>Patrizia Naldini</cp:lastModifiedBy>
  <cp:revision>2</cp:revision>
  <dcterms:created xsi:type="dcterms:W3CDTF">2019-06-27T08:06:00Z</dcterms:created>
  <dcterms:modified xsi:type="dcterms:W3CDTF">2019-06-27T08:06:00Z</dcterms:modified>
</cp:coreProperties>
</file>