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1EC8" w:rsidR="002C1EC8" w:rsidP="002C1EC8" w:rsidRDefault="002C1EC8" w14:paraId="5E1A71E1" w14:textId="0FC23033">
      <w:pPr>
        <w:ind w:left="720" w:hanging="360"/>
        <w:rPr>
          <w:b/>
          <w:bCs/>
          <w:sz w:val="28"/>
          <w:szCs w:val="36"/>
        </w:rPr>
      </w:pPr>
      <w:r>
        <w:rPr>
          <w:b/>
          <w:bCs/>
          <w:sz w:val="28"/>
          <w:szCs w:val="36"/>
        </w:rPr>
        <w:t xml:space="preserve">                        </w:t>
      </w:r>
      <w:r w:rsidRPr="002C1EC8">
        <w:rPr>
          <w:b/>
          <w:bCs/>
          <w:sz w:val="28"/>
          <w:szCs w:val="36"/>
        </w:rPr>
        <w:t>Off-Screen Talent Privacy Notice</w:t>
      </w:r>
    </w:p>
    <w:p w:rsidR="00C63959" w:rsidP="00F52FFE" w:rsidRDefault="008264A6" w14:paraId="78B4F9B3" w14:textId="5C967B88">
      <w:pPr>
        <w:pStyle w:val="Heading1"/>
        <w:numPr>
          <w:ilvl w:val="0"/>
          <w:numId w:val="15"/>
        </w:numPr>
        <w:jc w:val="both"/>
      </w:pPr>
      <w:r>
        <w:t>Introduction</w:t>
      </w:r>
    </w:p>
    <w:p w:rsidRPr="00F52FFE" w:rsidR="00F52FFE" w:rsidP="00F52FFE" w:rsidRDefault="00F52FFE" w14:paraId="070B50C7" w14:textId="4A5B0B70">
      <w:pPr>
        <w:spacing w:after="160" w:line="278" w:lineRule="auto"/>
        <w:jc w:val="both"/>
        <w:rPr>
          <w:rFonts w:eastAsiaTheme="minorHAnsi" w:cstheme="minorBidi"/>
          <w:kern w:val="2"/>
          <w:lang w:val="en-GB"/>
          <w14:ligatures w14:val="standardContextual"/>
        </w:rPr>
      </w:pPr>
      <w:r w:rsidRPr="00F52FFE">
        <w:rPr>
          <w:rFonts w:eastAsiaTheme="minorHAnsi" w:cstheme="minorBidi"/>
          <w:kern w:val="2"/>
          <w:lang w:val="en-GB"/>
          <w14:ligatures w14:val="standardContextual"/>
        </w:rPr>
        <w:t>This Privacy Notice explains how FremantleMedia Group Limited and its affiliated entities (collectively referred to as “</w:t>
      </w:r>
      <w:r w:rsidRPr="00F52FFE">
        <w:rPr>
          <w:rFonts w:eastAsiaTheme="minorHAnsi" w:cstheme="minorBidi"/>
          <w:b/>
          <w:bCs/>
          <w:kern w:val="2"/>
          <w:lang w:val="en-GB"/>
          <w14:ligatures w14:val="standardContextual"/>
        </w:rPr>
        <w:t>Fremantle Group</w:t>
      </w:r>
      <w:r w:rsidRPr="00F52FFE">
        <w:rPr>
          <w:rFonts w:eastAsiaTheme="minorHAnsi" w:cstheme="minorBidi"/>
          <w:kern w:val="2"/>
          <w:lang w:val="en-GB"/>
          <w14:ligatures w14:val="standardContextual"/>
        </w:rPr>
        <w:t>,” “</w:t>
      </w:r>
      <w:r w:rsidRPr="00F52FFE">
        <w:rPr>
          <w:rFonts w:eastAsiaTheme="minorHAnsi" w:cstheme="minorBidi"/>
          <w:b/>
          <w:bCs/>
          <w:kern w:val="2"/>
          <w:lang w:val="en-GB"/>
          <w14:ligatures w14:val="standardContextual"/>
        </w:rPr>
        <w:t>we</w:t>
      </w:r>
      <w:r w:rsidRPr="00F52FFE">
        <w:rPr>
          <w:rFonts w:eastAsiaTheme="minorHAnsi" w:cstheme="minorBidi"/>
          <w:kern w:val="2"/>
          <w:lang w:val="en-GB"/>
          <w14:ligatures w14:val="standardContextual"/>
        </w:rPr>
        <w:t>,” or “</w:t>
      </w:r>
      <w:r w:rsidRPr="00F52FFE">
        <w:rPr>
          <w:rFonts w:eastAsiaTheme="minorHAnsi" w:cstheme="minorBidi"/>
          <w:b/>
          <w:bCs/>
          <w:kern w:val="2"/>
          <w:lang w:val="en-GB"/>
          <w14:ligatures w14:val="standardContextual"/>
        </w:rPr>
        <w:t>us</w:t>
      </w:r>
      <w:r w:rsidRPr="00F52FFE">
        <w:rPr>
          <w:rFonts w:eastAsiaTheme="minorHAnsi" w:cstheme="minorBidi"/>
          <w:kern w:val="2"/>
          <w:lang w:val="en-GB"/>
          <w14:ligatures w14:val="standardContextual"/>
        </w:rPr>
        <w:t xml:space="preserve">”) collect, use, disclose, store, and otherwise process personal data in relation </w:t>
      </w:r>
      <w:r w:rsidR="00D439F7">
        <w:rPr>
          <w:rFonts w:eastAsiaTheme="minorHAnsi" w:cstheme="minorBidi"/>
          <w:kern w:val="2"/>
          <w:lang w:val="en-GB"/>
          <w14:ligatures w14:val="standardContextual"/>
        </w:rPr>
        <w:t xml:space="preserve">Off-Screen Talent </w:t>
      </w:r>
      <w:r w:rsidRPr="00F52FFE">
        <w:rPr>
          <w:rFonts w:eastAsiaTheme="minorHAnsi" w:cstheme="minorBidi"/>
          <w:kern w:val="2"/>
          <w:lang w:val="en-GB"/>
          <w14:ligatures w14:val="standardContextual"/>
        </w:rPr>
        <w:t>involved in the Programme or Project (the “</w:t>
      </w:r>
      <w:r w:rsidRPr="00F52FFE">
        <w:rPr>
          <w:rFonts w:eastAsiaTheme="minorHAnsi" w:cstheme="minorBidi"/>
          <w:b/>
          <w:bCs/>
          <w:kern w:val="2"/>
          <w:lang w:val="en-GB"/>
          <w14:ligatures w14:val="standardContextual"/>
        </w:rPr>
        <w:t>Production</w:t>
      </w:r>
      <w:r w:rsidRPr="00F52FFE">
        <w:rPr>
          <w:rFonts w:eastAsiaTheme="minorHAnsi" w:cstheme="minorBidi"/>
          <w:kern w:val="2"/>
          <w:lang w:val="en-GB"/>
          <w14:ligatures w14:val="standardContextual"/>
        </w:rPr>
        <w:t>”) created by any Fremantle Group entity or affiliate.</w:t>
      </w:r>
    </w:p>
    <w:p w:rsidRPr="00F52FFE" w:rsidR="00F52FFE" w:rsidP="4CBCD485" w:rsidRDefault="00F52FFE" w14:paraId="582698B1" w14:textId="3485BF62">
      <w:pPr>
        <w:spacing w:after="160" w:line="278" w:lineRule="auto"/>
        <w:jc w:val="both"/>
        <w:rPr>
          <w:rFonts w:ascii="Arial" w:hAnsi="Arial" w:eastAsia="Aptos"/>
          <w:noProof w:val="0"/>
          <w:kern w:val="2"/>
          <w:sz w:val="20"/>
          <w:szCs w:val="20"/>
          <w:lang w:val="en-GB"/>
          <w14:ligatures w14:val="standardContextual"/>
        </w:rPr>
      </w:pPr>
      <w:r w:rsidRPr="4CBCD485" w:rsidR="00F52FFE">
        <w:rPr>
          <w:rFonts w:eastAsia="Aptos" w:cs="" w:eastAsiaTheme="minorAscii" w:cstheme="minorBidi"/>
          <w:kern w:val="2"/>
          <w:lang w:val="en-GB"/>
          <w14:ligatures w14:val="standardContextual"/>
        </w:rPr>
        <w:t xml:space="preserve">You may engage with the Fremantle Group through our global network of companies and labels. The specific Fremantle Group entity managing your personal data will be the company responsible for producing the Production you are involved with. This entity will be </w:t>
      </w:r>
      <w:r w:rsidRPr="4CBCD485" w:rsidR="00F52FFE">
        <w:rPr>
          <w:rFonts w:eastAsia="Aptos" w:cs="" w:eastAsiaTheme="minorAscii" w:cstheme="minorBidi"/>
          <w:kern w:val="2"/>
          <w:lang w:val="en-GB"/>
          <w14:ligatures w14:val="standardContextual"/>
        </w:rPr>
        <w:t xml:space="preserve">identified</w:t>
      </w:r>
      <w:r w:rsidRPr="4CBCD485" w:rsidR="00F52FFE">
        <w:rPr>
          <w:rFonts w:eastAsia="Aptos" w:cs="" w:eastAsiaTheme="minorAscii" w:cstheme="minorBidi"/>
          <w:kern w:val="2"/>
          <w:lang w:val="en-GB"/>
          <w14:ligatures w14:val="standardContextual"/>
        </w:rPr>
        <w:t xml:space="preserve"> in any contract you enter with the Fremantle Group of companies. </w:t>
      </w:r>
      <w:r w:rsidRPr="4CBCD485" w:rsidR="7CA464D7">
        <w:rPr>
          <w:rFonts w:ascii="Arial" w:hAnsi="Arial" w:eastAsia="Aptos"/>
          <w:b w:val="0"/>
          <w:bCs w:val="0"/>
          <w:i w:val="0"/>
          <w:iCs w:val="0"/>
          <w:caps w:val="0"/>
          <w:smallCaps w:val="0"/>
          <w:strike w:val="0"/>
          <w:dstrike w:val="0"/>
          <w:noProof w:val="0"/>
          <w:color w:val="000000" w:themeColor="text1" w:themeTint="FF" w:themeShade="FF"/>
          <w:sz w:val="20"/>
          <w:szCs w:val="20"/>
          <w:u w:val="none"/>
          <w:lang w:val="en-GB"/>
        </w:rPr>
        <w:t xml:space="preserve">For a list of Fremantle Group controllers, please visit https://fremantle.com/companies-and-labels. </w:t>
      </w:r>
      <w:r w:rsidRPr="4CBCD485" w:rsidR="7CA464D7">
        <w:rPr>
          <w:rFonts w:ascii="Arial" w:hAnsi="Arial" w:eastAsia="Aptos"/>
          <w:noProof w:val="0"/>
          <w:sz w:val="20"/>
          <w:szCs w:val="20"/>
          <w:lang w:val="en-GB"/>
        </w:rPr>
        <w:t xml:space="preserve"> </w:t>
      </w:r>
    </w:p>
    <w:p w:rsidRPr="00F52FFE" w:rsidR="00F52FFE" w:rsidP="00F52FFE" w:rsidRDefault="00F52FFE" w14:paraId="73F20889" w14:textId="06277ADA">
      <w:pPr>
        <w:spacing w:after="160" w:line="278" w:lineRule="auto"/>
        <w:jc w:val="both"/>
        <w:rPr>
          <w:rFonts w:eastAsiaTheme="minorHAnsi" w:cstheme="minorBidi"/>
          <w:kern w:val="2"/>
          <w:lang w:val="en-GB"/>
          <w14:ligatures w14:val="standardContextual"/>
        </w:rPr>
      </w:pPr>
      <w:r w:rsidRPr="00F52FFE">
        <w:rPr>
          <w:rFonts w:eastAsiaTheme="minorHAnsi" w:cstheme="minorBidi"/>
          <w:kern w:val="2"/>
          <w:lang w:val="en-GB"/>
          <w14:ligatures w14:val="standardContextual"/>
        </w:rPr>
        <w:t>If you are a resident of California or Australia, you have additional rights under the California Consumer Privacy Act (“</w:t>
      </w:r>
      <w:r w:rsidRPr="00F52FFE">
        <w:rPr>
          <w:rFonts w:eastAsiaTheme="minorHAnsi" w:cstheme="minorBidi"/>
          <w:b/>
          <w:bCs/>
          <w:kern w:val="2"/>
          <w:lang w:val="en-GB"/>
          <w14:ligatures w14:val="standardContextual"/>
        </w:rPr>
        <w:t>CCPA</w:t>
      </w:r>
      <w:r w:rsidRPr="00F52FFE">
        <w:rPr>
          <w:rFonts w:eastAsiaTheme="minorHAnsi" w:cstheme="minorBidi"/>
          <w:kern w:val="2"/>
          <w:lang w:val="en-GB"/>
          <w14:ligatures w14:val="standardContextual"/>
        </w:rPr>
        <w:t>”), the California Privacy Rights Act (“</w:t>
      </w:r>
      <w:r w:rsidRPr="00F52FFE">
        <w:rPr>
          <w:rFonts w:eastAsiaTheme="minorHAnsi" w:cstheme="minorBidi"/>
          <w:b/>
          <w:bCs/>
          <w:kern w:val="2"/>
          <w:lang w:val="en-GB"/>
          <w14:ligatures w14:val="standardContextual"/>
        </w:rPr>
        <w:t>CPRA</w:t>
      </w:r>
      <w:r w:rsidRPr="00F52FFE">
        <w:rPr>
          <w:rFonts w:eastAsiaTheme="minorHAnsi" w:cstheme="minorBidi"/>
          <w:kern w:val="2"/>
          <w:lang w:val="en-GB"/>
          <w14:ligatures w14:val="standardContextual"/>
        </w:rPr>
        <w:t>”), and the Australian Privacy Act 1988 (</w:t>
      </w:r>
      <w:proofErr w:type="spellStart"/>
      <w:r w:rsidRPr="00F52FFE">
        <w:rPr>
          <w:rFonts w:eastAsiaTheme="minorHAnsi" w:cstheme="minorBidi"/>
          <w:kern w:val="2"/>
          <w:lang w:val="en-GB"/>
          <w14:ligatures w14:val="standardContextual"/>
        </w:rPr>
        <w:t>Cth</w:t>
      </w:r>
      <w:proofErr w:type="spellEnd"/>
      <w:r w:rsidRPr="00F52FFE">
        <w:rPr>
          <w:rFonts w:eastAsiaTheme="minorHAnsi" w:cstheme="minorBidi"/>
          <w:kern w:val="2"/>
          <w:lang w:val="en-GB"/>
          <w14:ligatures w14:val="standardContextual"/>
        </w:rPr>
        <w:t>), which are detailed in Sections 7 and 8 of this Privacy Notice.</w:t>
      </w:r>
    </w:p>
    <w:p w:rsidRPr="008264A6" w:rsidR="008264A6" w:rsidP="00F52FFE" w:rsidRDefault="008264A6" w14:paraId="4497006A" w14:textId="50939FC0">
      <w:pPr>
        <w:pStyle w:val="Heading1"/>
        <w:numPr>
          <w:ilvl w:val="0"/>
          <w:numId w:val="15"/>
        </w:numPr>
        <w:jc w:val="both"/>
        <w:rPr>
          <w:lang w:val="en-GB"/>
        </w:rPr>
      </w:pPr>
      <w:r w:rsidRPr="008264A6">
        <w:rPr>
          <w:lang w:val="en-GB"/>
        </w:rPr>
        <w:t>What is the purpose of this notice and who does it apply to?</w:t>
      </w:r>
    </w:p>
    <w:p w:rsidR="008264A6" w:rsidP="00AC7F97" w:rsidRDefault="008264A6" w14:paraId="1B9FF2FF" w14:textId="6737A521">
      <w:pPr>
        <w:jc w:val="both"/>
        <w:rPr>
          <w:lang w:val="en-GB"/>
        </w:rPr>
      </w:pPr>
      <w:r w:rsidRPr="008264A6">
        <w:rPr>
          <w:lang w:val="en-GB"/>
        </w:rPr>
        <w:t>This privacy notice provides you with information about how Fremantle</w:t>
      </w:r>
      <w:r>
        <w:rPr>
          <w:lang w:val="en-GB"/>
        </w:rPr>
        <w:t xml:space="preserve">Media Group </w:t>
      </w:r>
      <w:r w:rsidRPr="008264A6">
        <w:rPr>
          <w:lang w:val="en-GB"/>
        </w:rPr>
        <w:t>collect and process your personal data when</w:t>
      </w:r>
      <w:r>
        <w:rPr>
          <w:lang w:val="en-GB"/>
        </w:rPr>
        <w:t>:</w:t>
      </w:r>
    </w:p>
    <w:p w:rsidRPr="008264A6" w:rsidR="008264A6" w:rsidP="00AC7F97" w:rsidRDefault="008264A6" w14:paraId="45C7D897" w14:textId="77777777">
      <w:pPr>
        <w:pStyle w:val="ListParagraph"/>
        <w:numPr>
          <w:ilvl w:val="0"/>
          <w:numId w:val="4"/>
        </w:numPr>
        <w:jc w:val="both"/>
        <w:rPr>
          <w:lang w:val="en-GB"/>
        </w:rPr>
      </w:pPr>
      <w:r w:rsidRPr="008264A6">
        <w:rPr>
          <w:lang w:val="en-GB"/>
        </w:rPr>
        <w:t>We engage with you a producer or co-producer of a production;</w:t>
      </w:r>
    </w:p>
    <w:p w:rsidRPr="008264A6" w:rsidR="008264A6" w:rsidP="00AC7F97" w:rsidRDefault="008264A6" w14:paraId="1ECCF8EA" w14:textId="5F1C6A1B">
      <w:pPr>
        <w:pStyle w:val="ListParagraph"/>
        <w:numPr>
          <w:ilvl w:val="0"/>
          <w:numId w:val="4"/>
        </w:numPr>
        <w:jc w:val="both"/>
        <w:rPr>
          <w:lang w:val="en-GB"/>
        </w:rPr>
      </w:pPr>
      <w:r w:rsidRPr="008264A6">
        <w:rPr>
          <w:lang w:val="en-GB"/>
        </w:rPr>
        <w:t>We engage with you as a writer or a production;</w:t>
      </w:r>
    </w:p>
    <w:p w:rsidRPr="00311893" w:rsidR="00311893" w:rsidP="00AC7F97" w:rsidRDefault="008264A6" w14:paraId="55266398" w14:textId="3E9C2705">
      <w:pPr>
        <w:pStyle w:val="ListParagraph"/>
        <w:numPr>
          <w:ilvl w:val="0"/>
          <w:numId w:val="4"/>
        </w:numPr>
        <w:jc w:val="both"/>
        <w:rPr>
          <w:lang w:val="en-GB"/>
        </w:rPr>
      </w:pPr>
      <w:r w:rsidRPr="008264A6">
        <w:rPr>
          <w:lang w:val="en-GB"/>
        </w:rPr>
        <w:t>You direct a Fremantle</w:t>
      </w:r>
      <w:r w:rsidR="007A760E">
        <w:rPr>
          <w:lang w:val="en-GB"/>
        </w:rPr>
        <w:t xml:space="preserve"> </w:t>
      </w:r>
      <w:r w:rsidRPr="008264A6">
        <w:rPr>
          <w:lang w:val="en-GB"/>
        </w:rPr>
        <w:t>Group production;</w:t>
      </w:r>
    </w:p>
    <w:p w:rsidRPr="00311893" w:rsidR="00311893" w:rsidP="00F52FFE" w:rsidRDefault="00311893" w14:paraId="03C53AA6" w14:textId="64A8AAB4">
      <w:pPr>
        <w:pStyle w:val="Heading1"/>
        <w:numPr>
          <w:ilvl w:val="0"/>
          <w:numId w:val="15"/>
        </w:numPr>
        <w:jc w:val="both"/>
        <w:rPr>
          <w:lang w:val="en-GB"/>
        </w:rPr>
      </w:pPr>
      <w:r w:rsidRPr="00311893">
        <w:rPr>
          <w:lang w:val="en-GB"/>
        </w:rPr>
        <w:t>Personal data we collect about you</w:t>
      </w:r>
    </w:p>
    <w:p w:rsidRPr="00311893" w:rsidR="00311893" w:rsidP="00AC7F97" w:rsidRDefault="00311893" w14:paraId="577624A6" w14:textId="77777777">
      <w:pPr>
        <w:jc w:val="both"/>
        <w:rPr>
          <w:lang w:val="en-GB"/>
        </w:rPr>
      </w:pPr>
      <w:r w:rsidRPr="00311893">
        <w:rPr>
          <w:lang w:val="en-GB"/>
        </w:rPr>
        <w:t>We process different kinds of personal data about you, which we have grouped together and explain as follows:</w:t>
      </w:r>
    </w:p>
    <w:p w:rsidRPr="00311893" w:rsidR="00311893" w:rsidP="00AC7F97" w:rsidRDefault="00311893" w14:paraId="6A68D389" w14:textId="2BB2B0FE">
      <w:pPr>
        <w:pStyle w:val="ListParagraph"/>
        <w:numPr>
          <w:ilvl w:val="0"/>
          <w:numId w:val="6"/>
        </w:numPr>
        <w:jc w:val="both"/>
        <w:rPr>
          <w:lang w:val="en-GB"/>
        </w:rPr>
      </w:pPr>
      <w:r w:rsidRPr="00311893">
        <w:rPr>
          <w:b/>
          <w:bCs/>
          <w:lang w:val="en-GB"/>
        </w:rPr>
        <w:t>Contact and identity data</w:t>
      </w:r>
      <w:r w:rsidRPr="00311893">
        <w:rPr>
          <w:lang w:val="en-GB"/>
        </w:rPr>
        <w:t>: this includes name, age, date of birth,</w:t>
      </w:r>
      <w:r w:rsidR="004E41EA">
        <w:rPr>
          <w:lang w:val="en-GB"/>
        </w:rPr>
        <w:t xml:space="preserve"> </w:t>
      </w:r>
      <w:r w:rsidRPr="00311893">
        <w:rPr>
          <w:lang w:val="en-GB"/>
        </w:rPr>
        <w:t xml:space="preserve">number, country and area of residence, your agents name, phone number and email address. </w:t>
      </w:r>
    </w:p>
    <w:p w:rsidR="00311893" w:rsidP="00AC7F97" w:rsidRDefault="00311893" w14:paraId="528829CD" w14:textId="48EA8AB9">
      <w:pPr>
        <w:pStyle w:val="ListParagraph"/>
        <w:numPr>
          <w:ilvl w:val="0"/>
          <w:numId w:val="6"/>
        </w:numPr>
        <w:jc w:val="both"/>
        <w:rPr>
          <w:lang w:val="en-GB"/>
        </w:rPr>
      </w:pPr>
      <w:r w:rsidRPr="00311893">
        <w:rPr>
          <w:b/>
          <w:bCs/>
          <w:lang w:val="en-GB"/>
        </w:rPr>
        <w:t>Previous experience data</w:t>
      </w:r>
      <w:r w:rsidRPr="00311893">
        <w:rPr>
          <w:lang w:val="en-GB"/>
        </w:rPr>
        <w:t>: this includes details of the work you have previously undertaken, references, information contained on your CV, and background check information.</w:t>
      </w:r>
    </w:p>
    <w:p w:rsidRPr="00311893" w:rsidR="00515F1A" w:rsidP="00AC7F97" w:rsidRDefault="00515F1A" w14:paraId="39C799FB" w14:textId="461C0EF0">
      <w:pPr>
        <w:pStyle w:val="ListParagraph"/>
        <w:numPr>
          <w:ilvl w:val="0"/>
          <w:numId w:val="6"/>
        </w:numPr>
        <w:jc w:val="both"/>
        <w:rPr>
          <w:lang w:val="en-GB"/>
        </w:rPr>
      </w:pPr>
      <w:r>
        <w:rPr>
          <w:b/>
          <w:bCs/>
          <w:lang w:val="en-GB"/>
        </w:rPr>
        <w:t>Communication data</w:t>
      </w:r>
      <w:r>
        <w:rPr>
          <w:lang w:val="en-GB"/>
        </w:rPr>
        <w:t xml:space="preserve">: this includes the channel and method by which we communicate with you and the content of the communication. </w:t>
      </w:r>
    </w:p>
    <w:p w:rsidRPr="00311893" w:rsidR="00311893" w:rsidP="00AC7F97" w:rsidRDefault="00311893" w14:paraId="4CB8810D" w14:textId="104975C4">
      <w:pPr>
        <w:pStyle w:val="ListParagraph"/>
        <w:numPr>
          <w:ilvl w:val="0"/>
          <w:numId w:val="6"/>
        </w:numPr>
        <w:jc w:val="both"/>
        <w:rPr>
          <w:lang w:val="en-GB"/>
        </w:rPr>
      </w:pPr>
      <w:r w:rsidRPr="00311893">
        <w:rPr>
          <w:b/>
          <w:bCs/>
          <w:lang w:val="en-GB"/>
        </w:rPr>
        <w:t>Remuneration and benefits data</w:t>
      </w:r>
      <w:r w:rsidRPr="00311893">
        <w:rPr>
          <w:lang w:val="en-GB"/>
        </w:rPr>
        <w:t xml:space="preserve">: this includes payment for services provided (including one off payments), allowances, benefits, bank account details, job level, </w:t>
      </w:r>
      <w:r w:rsidR="00515F1A">
        <w:rPr>
          <w:lang w:val="en-GB"/>
        </w:rPr>
        <w:t xml:space="preserve">hours worked, </w:t>
      </w:r>
      <w:r w:rsidRPr="00311893">
        <w:rPr>
          <w:lang w:val="en-GB"/>
        </w:rPr>
        <w:t>national insurance number, tax information and expenses.</w:t>
      </w:r>
    </w:p>
    <w:p w:rsidR="00311893" w:rsidP="00AC7F97" w:rsidRDefault="00311893" w14:paraId="5D3BB8EC" w14:textId="03E38543">
      <w:pPr>
        <w:pStyle w:val="ListParagraph"/>
        <w:numPr>
          <w:ilvl w:val="0"/>
          <w:numId w:val="6"/>
        </w:numPr>
        <w:jc w:val="both"/>
        <w:rPr>
          <w:lang w:val="en-GB"/>
        </w:rPr>
      </w:pPr>
      <w:r w:rsidRPr="00311893">
        <w:rPr>
          <w:b/>
          <w:bCs/>
          <w:lang w:val="en-GB"/>
        </w:rPr>
        <w:t>Verification data</w:t>
      </w:r>
      <w:r w:rsidRPr="00311893">
        <w:rPr>
          <w:lang w:val="en-GB"/>
        </w:rPr>
        <w:t>: this includes copies of passports, passport information and other identification documents such as driving license.</w:t>
      </w:r>
    </w:p>
    <w:p w:rsidRPr="00311893" w:rsidR="00311893" w:rsidP="00AC7F97" w:rsidRDefault="00311893" w14:paraId="59399443" w14:textId="77777777">
      <w:pPr>
        <w:pStyle w:val="ListParagraph"/>
        <w:jc w:val="both"/>
        <w:rPr>
          <w:lang w:val="en-GB"/>
        </w:rPr>
      </w:pPr>
    </w:p>
    <w:p w:rsidRPr="00311893" w:rsidR="00311893" w:rsidP="00AC7F97" w:rsidRDefault="00311893" w14:paraId="57321079" w14:textId="50D49897">
      <w:pPr>
        <w:jc w:val="both"/>
        <w:rPr>
          <w:lang w:val="en-GB"/>
        </w:rPr>
      </w:pPr>
      <w:r w:rsidRPr="00311893">
        <w:rPr>
          <w:lang w:val="en-GB"/>
        </w:rPr>
        <w:t xml:space="preserve">We may from time to time collect and process the following categories of personal data, which are considered sensitive under </w:t>
      </w:r>
      <w:r w:rsidR="00317D20">
        <w:rPr>
          <w:lang w:val="en-GB"/>
        </w:rPr>
        <w:t>data protection laws:</w:t>
      </w:r>
    </w:p>
    <w:p w:rsidRPr="00311893" w:rsidR="00311893" w:rsidP="00AC7F97" w:rsidRDefault="00311893" w14:paraId="36AECA86" w14:textId="574AE0A3">
      <w:pPr>
        <w:pStyle w:val="ListParagraph"/>
        <w:numPr>
          <w:ilvl w:val="0"/>
          <w:numId w:val="7"/>
        </w:numPr>
        <w:jc w:val="both"/>
        <w:rPr>
          <w:lang w:val="en-GB"/>
        </w:rPr>
      </w:pPr>
      <w:r w:rsidRPr="00311893">
        <w:rPr>
          <w:lang w:val="en-GB"/>
        </w:rPr>
        <w:t>Race or ethnic origin;</w:t>
      </w:r>
    </w:p>
    <w:p w:rsidRPr="00311893" w:rsidR="00311893" w:rsidP="00AC7F97" w:rsidRDefault="00311893" w14:paraId="6A9C44FA" w14:textId="234591F1">
      <w:pPr>
        <w:pStyle w:val="ListParagraph"/>
        <w:numPr>
          <w:ilvl w:val="0"/>
          <w:numId w:val="7"/>
        </w:numPr>
        <w:jc w:val="both"/>
        <w:rPr>
          <w:lang w:val="en-GB"/>
        </w:rPr>
      </w:pPr>
      <w:r w:rsidRPr="00311893">
        <w:rPr>
          <w:lang w:val="en-GB"/>
        </w:rPr>
        <w:t>Religious or philosophical beliefs;</w:t>
      </w:r>
    </w:p>
    <w:p w:rsidRPr="00311893" w:rsidR="00311893" w:rsidP="00AC7F97" w:rsidRDefault="00311893" w14:paraId="080F23E8" w14:textId="79CEA971">
      <w:pPr>
        <w:pStyle w:val="ListParagraph"/>
        <w:numPr>
          <w:ilvl w:val="0"/>
          <w:numId w:val="7"/>
        </w:numPr>
        <w:jc w:val="both"/>
        <w:rPr>
          <w:lang w:val="en-GB"/>
        </w:rPr>
      </w:pPr>
      <w:r w:rsidRPr="00311893">
        <w:rPr>
          <w:lang w:val="en-GB"/>
        </w:rPr>
        <w:t>Trade union membership;</w:t>
      </w:r>
    </w:p>
    <w:p w:rsidRPr="00311893" w:rsidR="00311893" w:rsidP="00AC7F97" w:rsidRDefault="00311893" w14:paraId="47E14323" w14:textId="320B03B6">
      <w:pPr>
        <w:pStyle w:val="ListParagraph"/>
        <w:numPr>
          <w:ilvl w:val="0"/>
          <w:numId w:val="7"/>
        </w:numPr>
        <w:jc w:val="both"/>
        <w:rPr>
          <w:lang w:val="en-GB"/>
        </w:rPr>
      </w:pPr>
      <w:r w:rsidRPr="00311893">
        <w:rPr>
          <w:lang w:val="en-GB"/>
        </w:rPr>
        <w:t>Health data; and</w:t>
      </w:r>
    </w:p>
    <w:p w:rsidR="00311893" w:rsidP="00AC7F97" w:rsidRDefault="00311893" w14:paraId="27D976F9" w14:textId="141BDF1F">
      <w:pPr>
        <w:pStyle w:val="ListParagraph"/>
        <w:numPr>
          <w:ilvl w:val="0"/>
          <w:numId w:val="7"/>
        </w:numPr>
        <w:jc w:val="both"/>
        <w:rPr>
          <w:lang w:val="en-GB"/>
        </w:rPr>
      </w:pPr>
      <w:r w:rsidRPr="00311893">
        <w:rPr>
          <w:lang w:val="en-GB"/>
        </w:rPr>
        <w:t>Criminal conviction data.</w:t>
      </w:r>
    </w:p>
    <w:p w:rsidRPr="00311893" w:rsidR="00311893" w:rsidP="00AC7F97" w:rsidRDefault="00311893" w14:paraId="2930B4C8" w14:textId="77777777">
      <w:pPr>
        <w:pStyle w:val="ListParagraph"/>
        <w:jc w:val="both"/>
        <w:rPr>
          <w:lang w:val="en-GB"/>
        </w:rPr>
      </w:pPr>
    </w:p>
    <w:p w:rsidR="00311893" w:rsidP="00AC7F97" w:rsidRDefault="00311893" w14:paraId="3BA18025" w14:textId="7E3232B3">
      <w:pPr>
        <w:jc w:val="both"/>
        <w:rPr>
          <w:lang w:val="en-GB"/>
        </w:rPr>
      </w:pPr>
      <w:r w:rsidRPr="00311893">
        <w:rPr>
          <w:lang w:val="en-GB"/>
        </w:rPr>
        <w:t xml:space="preserve">In general, we will not process particularly sensitive personal information about you unless it is necessary for performing or exercising obligations or rights in connection with engagement with us. On rare occasions, there may be other reasons for processing, such as it is in the public interest to do so. The situations in which we will process your particularly sensitive personal information are listed </w:t>
      </w:r>
      <w:r>
        <w:rPr>
          <w:lang w:val="en-GB"/>
        </w:rPr>
        <w:t xml:space="preserve">in section </w:t>
      </w:r>
      <w:r w:rsidR="007A760E">
        <w:rPr>
          <w:lang w:val="en-GB"/>
        </w:rPr>
        <w:t>5</w:t>
      </w:r>
      <w:r>
        <w:rPr>
          <w:lang w:val="en-GB"/>
        </w:rPr>
        <w:t xml:space="preserve"> of this notice.</w:t>
      </w:r>
    </w:p>
    <w:p w:rsidR="00311893" w:rsidP="00F52FFE" w:rsidRDefault="00311893" w14:paraId="35E7314D" w14:textId="1A62ECA0">
      <w:pPr>
        <w:pStyle w:val="Heading1"/>
        <w:numPr>
          <w:ilvl w:val="0"/>
          <w:numId w:val="15"/>
        </w:numPr>
        <w:jc w:val="both"/>
        <w:rPr>
          <w:lang w:val="en-GB"/>
        </w:rPr>
      </w:pPr>
      <w:r w:rsidRPr="00311893">
        <w:rPr>
          <w:lang w:val="en-GB"/>
        </w:rPr>
        <w:t>How is your information collected?</w:t>
      </w:r>
    </w:p>
    <w:p w:rsidRPr="00071786" w:rsidR="00071786" w:rsidP="00AC7F97" w:rsidRDefault="00071786" w14:paraId="737B3D23" w14:textId="77777777">
      <w:pPr>
        <w:jc w:val="both"/>
        <w:rPr>
          <w:lang w:val="en-GB"/>
        </w:rPr>
      </w:pPr>
      <w:r w:rsidRPr="00071786">
        <w:rPr>
          <w:lang w:val="en-GB"/>
        </w:rPr>
        <w:t>We use different methods to collect information from and about you including through:</w:t>
      </w:r>
    </w:p>
    <w:p w:rsidRPr="00071786" w:rsidR="00071786" w:rsidP="00AC7F97" w:rsidRDefault="00071786" w14:paraId="59E55DBA" w14:textId="0CEE131C">
      <w:pPr>
        <w:pStyle w:val="ListParagraph"/>
        <w:numPr>
          <w:ilvl w:val="0"/>
          <w:numId w:val="8"/>
        </w:numPr>
        <w:jc w:val="both"/>
        <w:rPr>
          <w:lang w:val="en-GB"/>
        </w:rPr>
      </w:pPr>
      <w:r w:rsidRPr="00AC7F97">
        <w:rPr>
          <w:b/>
          <w:bCs/>
          <w:lang w:val="en-GB"/>
        </w:rPr>
        <w:t xml:space="preserve">Throughout your engagement with </w:t>
      </w:r>
      <w:r w:rsidRPr="00AC7F97" w:rsidR="00AC7F97">
        <w:rPr>
          <w:b/>
          <w:bCs/>
          <w:lang w:val="en-GB"/>
        </w:rPr>
        <w:t>us</w:t>
      </w:r>
      <w:r w:rsidR="00AC7F97">
        <w:rPr>
          <w:lang w:val="en-GB"/>
        </w:rPr>
        <w:t>:</w:t>
      </w:r>
      <w:r w:rsidRPr="00071786" w:rsidR="00AC7F97">
        <w:rPr>
          <w:lang w:val="en-GB"/>
        </w:rPr>
        <w:t xml:space="preserve"> where</w:t>
      </w:r>
      <w:r w:rsidRPr="00071786">
        <w:rPr>
          <w:lang w:val="en-GB"/>
        </w:rPr>
        <w:t xml:space="preserve"> you are engaged with us, we will collect personal data directly from you.</w:t>
      </w:r>
    </w:p>
    <w:p w:rsidRPr="002F21E5" w:rsidR="008264A6" w:rsidP="002F21E5" w:rsidRDefault="00071786" w14:paraId="4B6CCED2" w14:textId="35BA3B5A">
      <w:pPr>
        <w:pStyle w:val="ListParagraph"/>
        <w:numPr>
          <w:ilvl w:val="0"/>
          <w:numId w:val="8"/>
        </w:numPr>
        <w:jc w:val="both"/>
        <w:rPr>
          <w:lang w:val="en-GB"/>
        </w:rPr>
      </w:pPr>
      <w:r w:rsidRPr="00AC7F97">
        <w:rPr>
          <w:b/>
          <w:bCs/>
          <w:lang w:val="en-GB"/>
        </w:rPr>
        <w:t>Third parties</w:t>
      </w:r>
      <w:r w:rsidR="00AC7F97">
        <w:rPr>
          <w:lang w:val="en-GB"/>
        </w:rPr>
        <w:t xml:space="preserve">: </w:t>
      </w:r>
      <w:r w:rsidRPr="00071786">
        <w:rPr>
          <w:lang w:val="en-GB"/>
        </w:rPr>
        <w:t xml:space="preserve">we may receive information about you from various third parties, such as local tax authorities such as HMRC and the IRS and background screening providers. </w:t>
      </w:r>
    </w:p>
    <w:p w:rsidR="008264A6" w:rsidP="00F52FFE" w:rsidRDefault="00071786" w14:paraId="54152B56" w14:textId="595D234C">
      <w:pPr>
        <w:pStyle w:val="Heading1"/>
        <w:numPr>
          <w:ilvl w:val="0"/>
          <w:numId w:val="15"/>
        </w:numPr>
        <w:jc w:val="both"/>
        <w:rPr>
          <w:lang w:val="en-GB"/>
        </w:rPr>
      </w:pPr>
      <w:r>
        <w:rPr>
          <w:lang w:val="en-GB"/>
        </w:rPr>
        <w:t>How and why do you use my personal data?</w:t>
      </w:r>
    </w:p>
    <w:p w:rsidR="004048BB" w:rsidP="00AC7F97" w:rsidRDefault="004048BB" w14:paraId="76D777D5" w14:textId="196DF08D">
      <w:pPr>
        <w:jc w:val="both"/>
        <w:rPr>
          <w:lang w:val="en-GB"/>
        </w:rPr>
      </w:pPr>
      <w:r w:rsidRPr="004048BB">
        <w:rPr>
          <w:lang w:val="en-GB"/>
        </w:rPr>
        <w:t>We have set out in the table below a description of all the ways we use your personal data, and which legal bases we rely on to do so. Where appropriate we have also identified what our legitimate</w:t>
      </w:r>
      <w:r>
        <w:rPr>
          <w:lang w:val="en-GB"/>
        </w:rPr>
        <w:t xml:space="preserve"> </w:t>
      </w:r>
      <w:r w:rsidRPr="004048BB">
        <w:rPr>
          <w:lang w:val="en-GB"/>
        </w:rPr>
        <w:t>interests are in processing your personal data. We may process your personal data for more than one legal basis depending on the specific purpose for which we are using your personal data.</w:t>
      </w:r>
    </w:p>
    <w:p w:rsidRPr="004048BB" w:rsidR="004048BB" w:rsidP="00AC7F97" w:rsidRDefault="004048BB" w14:paraId="312B2D81" w14:textId="77777777">
      <w:pPr>
        <w:jc w:val="both"/>
        <w:rPr>
          <w:lang w:val="en-GB"/>
        </w:rPr>
      </w:pPr>
    </w:p>
    <w:tbl>
      <w:tblPr>
        <w:tblStyle w:val="TableGrid"/>
        <w:tblW w:w="0" w:type="auto"/>
        <w:tblLook w:val="04A0" w:firstRow="1" w:lastRow="0" w:firstColumn="1" w:lastColumn="0" w:noHBand="0" w:noVBand="1"/>
      </w:tblPr>
      <w:tblGrid>
        <w:gridCol w:w="3005"/>
        <w:gridCol w:w="3005"/>
        <w:gridCol w:w="3006"/>
      </w:tblGrid>
      <w:tr w:rsidR="004048BB" w:rsidTr="004048BB" w14:paraId="02037A15" w14:textId="77777777">
        <w:tc>
          <w:tcPr>
            <w:tcW w:w="3005" w:type="dxa"/>
            <w:shd w:val="clear" w:color="auto" w:fill="E8E8E8" w:themeFill="background2"/>
            <w:vAlign w:val="center"/>
          </w:tcPr>
          <w:p w:rsidRPr="004048BB" w:rsidR="004048BB" w:rsidP="00AC7F97" w:rsidRDefault="004048BB" w14:paraId="23BA4DE9" w14:textId="0A415CE9">
            <w:pPr>
              <w:jc w:val="both"/>
              <w:rPr>
                <w:b/>
                <w:bCs/>
                <w:lang w:val="en-GB"/>
              </w:rPr>
            </w:pPr>
            <w:r w:rsidRPr="004048BB">
              <w:rPr>
                <w:b/>
                <w:bCs/>
                <w:lang w:val="en-GB"/>
              </w:rPr>
              <w:t>Purpose for which personal data is processed</w:t>
            </w:r>
          </w:p>
        </w:tc>
        <w:tc>
          <w:tcPr>
            <w:tcW w:w="3005" w:type="dxa"/>
            <w:shd w:val="clear" w:color="auto" w:fill="E8E8E8" w:themeFill="background2"/>
            <w:vAlign w:val="center"/>
          </w:tcPr>
          <w:p w:rsidRPr="004048BB" w:rsidR="004048BB" w:rsidP="00AC7F97" w:rsidRDefault="004048BB" w14:paraId="3D4BA43C" w14:textId="5F7DC367">
            <w:pPr>
              <w:jc w:val="both"/>
              <w:rPr>
                <w:b/>
                <w:bCs/>
                <w:lang w:val="en-GB"/>
              </w:rPr>
            </w:pPr>
            <w:r w:rsidRPr="004048BB">
              <w:rPr>
                <w:b/>
                <w:bCs/>
                <w:lang w:val="en-GB"/>
              </w:rPr>
              <w:t>Categories of personal data</w:t>
            </w:r>
          </w:p>
        </w:tc>
        <w:tc>
          <w:tcPr>
            <w:tcW w:w="3006" w:type="dxa"/>
            <w:shd w:val="clear" w:color="auto" w:fill="E8E8E8" w:themeFill="background2"/>
            <w:vAlign w:val="center"/>
          </w:tcPr>
          <w:p w:rsidRPr="004048BB" w:rsidR="004048BB" w:rsidP="00AC7F97" w:rsidRDefault="004048BB" w14:paraId="19E85B4E" w14:textId="0C1AE3C4">
            <w:pPr>
              <w:jc w:val="both"/>
              <w:rPr>
                <w:b/>
                <w:bCs/>
                <w:lang w:val="en-GB"/>
              </w:rPr>
            </w:pPr>
            <w:r w:rsidRPr="004048BB">
              <w:rPr>
                <w:b/>
                <w:bCs/>
                <w:lang w:val="en-GB"/>
              </w:rPr>
              <w:t>Legal basis for processing</w:t>
            </w:r>
          </w:p>
        </w:tc>
      </w:tr>
      <w:tr w:rsidR="004048BB" w:rsidTr="0009156F" w14:paraId="70BACD99" w14:textId="77777777">
        <w:tc>
          <w:tcPr>
            <w:tcW w:w="3005" w:type="dxa"/>
            <w:vAlign w:val="center"/>
          </w:tcPr>
          <w:p w:rsidR="004048BB" w:rsidP="0009156F" w:rsidRDefault="004048BB" w14:paraId="5A6F3AB0" w14:textId="73BF88DC">
            <w:pPr>
              <w:rPr>
                <w:lang w:val="en-GB"/>
              </w:rPr>
            </w:pPr>
            <w:r w:rsidRPr="004048BB">
              <w:rPr>
                <w:lang w:val="en-GB"/>
              </w:rPr>
              <w:t>To decide whether to engage with you for the provision of your services</w:t>
            </w:r>
          </w:p>
        </w:tc>
        <w:tc>
          <w:tcPr>
            <w:tcW w:w="3005" w:type="dxa"/>
            <w:vAlign w:val="center"/>
          </w:tcPr>
          <w:p w:rsidRPr="004048BB" w:rsidR="004048BB" w:rsidP="0009156F" w:rsidRDefault="004048BB" w14:paraId="1D984EC6" w14:textId="77777777">
            <w:pPr>
              <w:pStyle w:val="ListParagraph"/>
              <w:numPr>
                <w:ilvl w:val="0"/>
                <w:numId w:val="9"/>
              </w:numPr>
              <w:ind w:left="426" w:hanging="283"/>
              <w:rPr>
                <w:lang w:val="en-GB"/>
              </w:rPr>
            </w:pPr>
            <w:r w:rsidRPr="004048BB">
              <w:rPr>
                <w:lang w:val="en-GB"/>
              </w:rPr>
              <w:t>Contact and identity data</w:t>
            </w:r>
          </w:p>
          <w:p w:rsidRPr="004048BB" w:rsidR="004048BB" w:rsidP="0009156F" w:rsidRDefault="004048BB" w14:paraId="782B6194" w14:textId="62212421">
            <w:pPr>
              <w:pStyle w:val="ListParagraph"/>
              <w:numPr>
                <w:ilvl w:val="0"/>
                <w:numId w:val="9"/>
              </w:numPr>
              <w:ind w:left="426" w:hanging="283"/>
              <w:rPr>
                <w:lang w:val="en-GB"/>
              </w:rPr>
            </w:pPr>
            <w:r w:rsidRPr="004048BB">
              <w:rPr>
                <w:lang w:val="en-GB"/>
              </w:rPr>
              <w:t>Previous experience data</w:t>
            </w:r>
          </w:p>
        </w:tc>
        <w:tc>
          <w:tcPr>
            <w:tcW w:w="3006" w:type="dxa"/>
            <w:vAlign w:val="center"/>
          </w:tcPr>
          <w:p w:rsidR="004048BB" w:rsidP="00AC7F97" w:rsidRDefault="004048BB" w14:paraId="334B7456" w14:textId="6D5C527C">
            <w:pPr>
              <w:rPr>
                <w:lang w:val="en-GB"/>
              </w:rPr>
            </w:pPr>
            <w:r w:rsidRPr="004048BB">
              <w:rPr>
                <w:b/>
                <w:bCs/>
                <w:lang w:val="en-GB"/>
              </w:rPr>
              <w:t>Contractual necessity</w:t>
            </w:r>
            <w:r w:rsidRPr="004048BB">
              <w:rPr>
                <w:lang w:val="en-GB"/>
              </w:rPr>
              <w:t xml:space="preserve"> – to take precontractual steps to decide whether to engage with you</w:t>
            </w:r>
          </w:p>
        </w:tc>
      </w:tr>
      <w:tr w:rsidR="004048BB" w:rsidTr="0009156F" w14:paraId="1FC79BB0" w14:textId="77777777">
        <w:tc>
          <w:tcPr>
            <w:tcW w:w="3005" w:type="dxa"/>
            <w:vAlign w:val="center"/>
          </w:tcPr>
          <w:p w:rsidR="004048BB" w:rsidP="0009156F" w:rsidRDefault="004048BB" w14:paraId="496E55ED" w14:textId="03012EA4">
            <w:pPr>
              <w:rPr>
                <w:lang w:val="en-GB"/>
              </w:rPr>
            </w:pPr>
            <w:r w:rsidRPr="004048BB">
              <w:rPr>
                <w:lang w:val="en-GB"/>
              </w:rPr>
              <w:t>To verify that the information you have supplied us is correct</w:t>
            </w:r>
          </w:p>
        </w:tc>
        <w:tc>
          <w:tcPr>
            <w:tcW w:w="3005" w:type="dxa"/>
            <w:vAlign w:val="center"/>
          </w:tcPr>
          <w:p w:rsidRPr="004048BB" w:rsidR="004048BB" w:rsidP="0009156F" w:rsidRDefault="004048BB" w14:paraId="74E3FA84" w14:textId="77777777">
            <w:pPr>
              <w:pStyle w:val="ListParagraph"/>
              <w:numPr>
                <w:ilvl w:val="0"/>
                <w:numId w:val="10"/>
              </w:numPr>
              <w:ind w:left="426" w:hanging="283"/>
              <w:rPr>
                <w:lang w:val="en-GB"/>
              </w:rPr>
            </w:pPr>
            <w:r w:rsidRPr="004048BB">
              <w:rPr>
                <w:lang w:val="en-GB"/>
              </w:rPr>
              <w:t>Contact and identity data</w:t>
            </w:r>
          </w:p>
          <w:p w:rsidRPr="004048BB" w:rsidR="004048BB" w:rsidP="0009156F" w:rsidRDefault="004048BB" w14:paraId="690E8360" w14:textId="02989134">
            <w:pPr>
              <w:pStyle w:val="ListParagraph"/>
              <w:numPr>
                <w:ilvl w:val="0"/>
                <w:numId w:val="10"/>
              </w:numPr>
              <w:ind w:left="426" w:hanging="283"/>
              <w:rPr>
                <w:lang w:val="en-GB"/>
              </w:rPr>
            </w:pPr>
            <w:r w:rsidRPr="004048BB">
              <w:rPr>
                <w:lang w:val="en-GB"/>
              </w:rPr>
              <w:t>Previous experience data</w:t>
            </w:r>
          </w:p>
          <w:p w:rsidRPr="004048BB" w:rsidR="004048BB" w:rsidP="0009156F" w:rsidRDefault="004048BB" w14:paraId="28E33BF1" w14:textId="0D2C19E9">
            <w:pPr>
              <w:pStyle w:val="ListParagraph"/>
              <w:numPr>
                <w:ilvl w:val="0"/>
                <w:numId w:val="10"/>
              </w:numPr>
              <w:ind w:left="426" w:hanging="283"/>
              <w:rPr>
                <w:lang w:val="en-GB"/>
              </w:rPr>
            </w:pPr>
            <w:r w:rsidRPr="004048BB">
              <w:rPr>
                <w:lang w:val="en-GB"/>
              </w:rPr>
              <w:t>Verification data</w:t>
            </w:r>
          </w:p>
        </w:tc>
        <w:tc>
          <w:tcPr>
            <w:tcW w:w="3006" w:type="dxa"/>
          </w:tcPr>
          <w:p w:rsidR="004048BB" w:rsidP="00AC7F97" w:rsidRDefault="004048BB" w14:paraId="307F5409" w14:textId="038E3EAF">
            <w:pPr>
              <w:rPr>
                <w:lang w:val="en-GB"/>
              </w:rPr>
            </w:pPr>
            <w:r w:rsidRPr="004048BB">
              <w:rPr>
                <w:b/>
                <w:bCs/>
                <w:lang w:val="en-GB"/>
              </w:rPr>
              <w:t>Legitimate interests</w:t>
            </w:r>
            <w:r w:rsidRPr="004048BB">
              <w:rPr>
                <w:lang w:val="en-GB"/>
              </w:rPr>
              <w:t xml:space="preserve"> - we have a legitimate interest in checking that what you tell us about yourself is correct. We also have a legitimate interest in protecting our commercial and reputational interests (as well as those of the broadcaster and our partners), and to safeguard the welfare of our employees, </w:t>
            </w:r>
            <w:r w:rsidRPr="004048BB" w:rsidR="00AC7F97">
              <w:rPr>
                <w:lang w:val="en-GB"/>
              </w:rPr>
              <w:t>freelancers, audience</w:t>
            </w:r>
            <w:r w:rsidRPr="004048BB">
              <w:rPr>
                <w:lang w:val="en-GB"/>
              </w:rPr>
              <w:t xml:space="preserve"> members, and</w:t>
            </w:r>
            <w:r w:rsidR="00AC7F97">
              <w:rPr>
                <w:lang w:val="en-GB"/>
              </w:rPr>
              <w:t xml:space="preserve"> </w:t>
            </w:r>
            <w:r w:rsidRPr="004048BB">
              <w:rPr>
                <w:lang w:val="en-GB"/>
              </w:rPr>
              <w:t>contributors/ contestants/candidates</w:t>
            </w:r>
          </w:p>
        </w:tc>
      </w:tr>
      <w:tr w:rsidR="004048BB" w:rsidTr="0009156F" w14:paraId="10F70BEC" w14:textId="77777777">
        <w:tc>
          <w:tcPr>
            <w:tcW w:w="3005" w:type="dxa"/>
            <w:vAlign w:val="center"/>
          </w:tcPr>
          <w:p w:rsidR="004048BB" w:rsidP="0009156F" w:rsidRDefault="004048BB" w14:paraId="09D295D5" w14:textId="79FCC82D">
            <w:pPr>
              <w:rPr>
                <w:lang w:val="en-GB"/>
              </w:rPr>
            </w:pPr>
            <w:r w:rsidRPr="004048BB">
              <w:rPr>
                <w:lang w:val="en-GB"/>
              </w:rPr>
              <w:t>Entering into an agreement with you and administering the agreement</w:t>
            </w:r>
            <w:r w:rsidR="004F4082">
              <w:rPr>
                <w:lang w:val="en-GB"/>
              </w:rPr>
              <w:t xml:space="preserve">, including (where applicable), business travel and payment </w:t>
            </w:r>
          </w:p>
        </w:tc>
        <w:tc>
          <w:tcPr>
            <w:tcW w:w="3005" w:type="dxa"/>
            <w:vAlign w:val="center"/>
          </w:tcPr>
          <w:p w:rsidR="004048BB" w:rsidP="0009156F" w:rsidRDefault="004048BB" w14:paraId="71C0663E" w14:textId="77777777">
            <w:pPr>
              <w:pStyle w:val="ListParagraph"/>
              <w:numPr>
                <w:ilvl w:val="0"/>
                <w:numId w:val="11"/>
              </w:numPr>
              <w:ind w:left="426" w:hanging="283"/>
              <w:rPr>
                <w:lang w:val="en-GB"/>
              </w:rPr>
            </w:pPr>
            <w:r w:rsidRPr="004048BB">
              <w:rPr>
                <w:lang w:val="en-GB"/>
              </w:rPr>
              <w:t>Contact and Identity data</w:t>
            </w:r>
          </w:p>
          <w:p w:rsidRPr="004048BB" w:rsidR="004F4082" w:rsidP="0009156F" w:rsidRDefault="004F4082" w14:paraId="6ECACB9E" w14:textId="060842A9">
            <w:pPr>
              <w:pStyle w:val="ListParagraph"/>
              <w:numPr>
                <w:ilvl w:val="0"/>
                <w:numId w:val="11"/>
              </w:numPr>
              <w:ind w:left="426" w:hanging="283"/>
              <w:rPr>
                <w:lang w:val="en-GB"/>
              </w:rPr>
            </w:pPr>
            <w:r>
              <w:rPr>
                <w:lang w:val="en-GB"/>
              </w:rPr>
              <w:t>Remuneration data</w:t>
            </w:r>
          </w:p>
        </w:tc>
        <w:tc>
          <w:tcPr>
            <w:tcW w:w="3006" w:type="dxa"/>
          </w:tcPr>
          <w:p w:rsidRPr="006F29C3" w:rsidR="004048BB" w:rsidP="00AC7F97" w:rsidRDefault="006F29C3" w14:paraId="74F25D6D" w14:textId="41A081AA">
            <w:pPr>
              <w:rPr>
                <w:lang w:val="en-GB"/>
              </w:rPr>
            </w:pPr>
            <w:r>
              <w:rPr>
                <w:b/>
                <w:bCs/>
                <w:lang w:val="en-GB"/>
              </w:rPr>
              <w:t xml:space="preserve">Contractual necessity – </w:t>
            </w:r>
            <w:r>
              <w:rPr>
                <w:lang w:val="en-GB"/>
              </w:rPr>
              <w:t>we process this personal data to enter into an agreement with you</w:t>
            </w:r>
          </w:p>
        </w:tc>
      </w:tr>
      <w:tr w:rsidR="004048BB" w:rsidTr="0009156F" w14:paraId="04992782" w14:textId="77777777">
        <w:tc>
          <w:tcPr>
            <w:tcW w:w="3005" w:type="dxa"/>
            <w:vAlign w:val="center"/>
          </w:tcPr>
          <w:p w:rsidR="004048BB" w:rsidP="0009156F" w:rsidRDefault="004048BB" w14:paraId="47AC6E2D" w14:textId="4FC997AB">
            <w:pPr>
              <w:rPr>
                <w:lang w:val="en-GB"/>
              </w:rPr>
            </w:pPr>
            <w:r w:rsidRPr="004048BB">
              <w:rPr>
                <w:lang w:val="en-GB"/>
              </w:rPr>
              <w:t>To safeguard your welfare and make reasonable adjustments during your engagement with us</w:t>
            </w:r>
            <w:r w:rsidR="001C02FB">
              <w:rPr>
                <w:lang w:val="en-GB"/>
              </w:rPr>
              <w:t>, including managing sick leave</w:t>
            </w:r>
          </w:p>
        </w:tc>
        <w:tc>
          <w:tcPr>
            <w:tcW w:w="3005" w:type="dxa"/>
            <w:vAlign w:val="center"/>
          </w:tcPr>
          <w:p w:rsidRPr="004048BB" w:rsidR="004048BB" w:rsidP="0009156F" w:rsidRDefault="004048BB" w14:paraId="04ADD8E0" w14:textId="77777777">
            <w:pPr>
              <w:pStyle w:val="ListParagraph"/>
              <w:numPr>
                <w:ilvl w:val="0"/>
                <w:numId w:val="11"/>
              </w:numPr>
              <w:ind w:left="426" w:hanging="283"/>
              <w:rPr>
                <w:lang w:val="en-GB"/>
              </w:rPr>
            </w:pPr>
            <w:r w:rsidRPr="004048BB">
              <w:rPr>
                <w:lang w:val="en-GB"/>
              </w:rPr>
              <w:t>Race or ethnic origin</w:t>
            </w:r>
          </w:p>
          <w:p w:rsidRPr="004048BB" w:rsidR="004048BB" w:rsidP="0009156F" w:rsidRDefault="004048BB" w14:paraId="1C65B091" w14:textId="227EDA9B">
            <w:pPr>
              <w:pStyle w:val="ListParagraph"/>
              <w:numPr>
                <w:ilvl w:val="0"/>
                <w:numId w:val="11"/>
              </w:numPr>
              <w:ind w:left="426" w:hanging="283"/>
              <w:rPr>
                <w:lang w:val="en-GB"/>
              </w:rPr>
            </w:pPr>
            <w:r w:rsidRPr="004048BB">
              <w:rPr>
                <w:lang w:val="en-GB"/>
              </w:rPr>
              <w:t>Religious or philosophical beliefs</w:t>
            </w:r>
          </w:p>
          <w:p w:rsidRPr="004048BB" w:rsidR="004048BB" w:rsidP="0009156F" w:rsidRDefault="004048BB" w14:paraId="3D0B99E0" w14:textId="527764DE">
            <w:pPr>
              <w:pStyle w:val="ListParagraph"/>
              <w:numPr>
                <w:ilvl w:val="0"/>
                <w:numId w:val="11"/>
              </w:numPr>
              <w:ind w:left="426" w:hanging="283"/>
              <w:rPr>
                <w:lang w:val="en-GB"/>
              </w:rPr>
            </w:pPr>
            <w:r>
              <w:rPr>
                <w:lang w:val="en-GB"/>
              </w:rPr>
              <w:t>Health data</w:t>
            </w:r>
          </w:p>
        </w:tc>
        <w:tc>
          <w:tcPr>
            <w:tcW w:w="3006" w:type="dxa"/>
          </w:tcPr>
          <w:p w:rsidR="004048BB" w:rsidP="00AC7F97" w:rsidRDefault="004048BB" w14:paraId="54E4E06E" w14:textId="6B82D0EC">
            <w:pPr>
              <w:rPr>
                <w:lang w:val="en-GB"/>
              </w:rPr>
            </w:pPr>
            <w:r w:rsidRPr="004048BB">
              <w:rPr>
                <w:b/>
                <w:bCs/>
                <w:lang w:val="en-GB"/>
              </w:rPr>
              <w:t>Consent</w:t>
            </w:r>
            <w:r w:rsidRPr="004048BB">
              <w:rPr>
                <w:lang w:val="en-GB"/>
              </w:rPr>
              <w:t xml:space="preserve"> – we will process this personal data where you have voluntarily disclosed it to us. You are not required to provide this information if you do not wish to do so.</w:t>
            </w:r>
          </w:p>
          <w:p w:rsidR="004048BB" w:rsidP="00AC7F97" w:rsidRDefault="004048BB" w14:paraId="54326040" w14:textId="77777777">
            <w:pPr>
              <w:rPr>
                <w:lang w:val="en-GB"/>
              </w:rPr>
            </w:pPr>
          </w:p>
          <w:p w:rsidR="004048BB" w:rsidP="00AC7F97" w:rsidRDefault="004048BB" w14:paraId="011B04F0" w14:textId="61D16BEB">
            <w:pPr>
              <w:rPr>
                <w:lang w:val="en-GB"/>
              </w:rPr>
            </w:pPr>
            <w:r w:rsidRPr="004048BB">
              <w:rPr>
                <w:b/>
                <w:bCs/>
                <w:lang w:val="en-GB"/>
              </w:rPr>
              <w:t>Legal obligation</w:t>
            </w:r>
            <w:r w:rsidRPr="004048BB">
              <w:rPr>
                <w:lang w:val="en-GB"/>
              </w:rPr>
              <w:t xml:space="preserve"> – where you have disclosed special category data to us, we process it under a legal obligation to manage health and safety risks and mitigate risks to your health, safety and welfare</w:t>
            </w:r>
          </w:p>
        </w:tc>
      </w:tr>
      <w:tr w:rsidR="004048BB" w:rsidTr="0009156F" w14:paraId="3D6431A0" w14:textId="77777777">
        <w:tc>
          <w:tcPr>
            <w:tcW w:w="3005" w:type="dxa"/>
            <w:vAlign w:val="center"/>
          </w:tcPr>
          <w:p w:rsidR="004048BB" w:rsidP="0009156F" w:rsidRDefault="006F29C3" w14:paraId="028D622D" w14:textId="6B33B9A9">
            <w:pPr>
              <w:rPr>
                <w:lang w:val="en-GB"/>
              </w:rPr>
            </w:pPr>
            <w:r>
              <w:rPr>
                <w:color w:val="000000"/>
              </w:rPr>
              <w:t>Business</w:t>
            </w:r>
            <w:r w:rsidR="00317D20">
              <w:rPr>
                <w:color w:val="000000"/>
              </w:rPr>
              <w:t xml:space="preserve"> </w:t>
            </w:r>
            <w:r>
              <w:rPr>
                <w:color w:val="000000"/>
              </w:rPr>
              <w:t>management and planning, including accounting and auditing</w:t>
            </w:r>
          </w:p>
        </w:tc>
        <w:tc>
          <w:tcPr>
            <w:tcW w:w="3005" w:type="dxa"/>
            <w:vAlign w:val="center"/>
          </w:tcPr>
          <w:p w:rsidR="004048BB" w:rsidP="0009156F" w:rsidRDefault="006F29C3" w14:paraId="58FD4139" w14:textId="77777777">
            <w:pPr>
              <w:pStyle w:val="ListParagraph"/>
              <w:numPr>
                <w:ilvl w:val="0"/>
                <w:numId w:val="10"/>
              </w:numPr>
              <w:ind w:left="426" w:hanging="283"/>
              <w:rPr>
                <w:lang w:val="en-GB"/>
              </w:rPr>
            </w:pPr>
            <w:r w:rsidRPr="004048BB">
              <w:rPr>
                <w:lang w:val="en-GB"/>
              </w:rPr>
              <w:t>Contact and identity data</w:t>
            </w:r>
          </w:p>
          <w:p w:rsidRPr="006F29C3" w:rsidR="006F29C3" w:rsidP="0009156F" w:rsidRDefault="006F29C3" w14:paraId="04FBFCF3" w14:textId="1CB73939">
            <w:pPr>
              <w:pStyle w:val="ListParagraph"/>
              <w:numPr>
                <w:ilvl w:val="0"/>
                <w:numId w:val="10"/>
              </w:numPr>
              <w:ind w:left="426" w:hanging="283"/>
              <w:rPr>
                <w:lang w:val="en-GB"/>
              </w:rPr>
            </w:pPr>
            <w:r>
              <w:rPr>
                <w:lang w:val="en-GB"/>
              </w:rPr>
              <w:t xml:space="preserve">Remuneration data </w:t>
            </w:r>
          </w:p>
        </w:tc>
        <w:tc>
          <w:tcPr>
            <w:tcW w:w="3006" w:type="dxa"/>
          </w:tcPr>
          <w:p w:rsidRPr="006F29C3" w:rsidR="004048BB" w:rsidP="00AC7F97" w:rsidRDefault="006F29C3" w14:paraId="5223AB01" w14:textId="09D552BD">
            <w:pPr>
              <w:rPr>
                <w:lang w:val="en-GB"/>
              </w:rPr>
            </w:pPr>
            <w:r>
              <w:rPr>
                <w:b/>
                <w:bCs/>
                <w:lang w:val="en-GB"/>
              </w:rPr>
              <w:t xml:space="preserve">Legitimate interests – </w:t>
            </w:r>
            <w:r>
              <w:rPr>
                <w:lang w:val="en-GB"/>
              </w:rPr>
              <w:t>it is in our legitimate interests to process this personal data in order to manage our business</w:t>
            </w:r>
          </w:p>
        </w:tc>
      </w:tr>
      <w:tr w:rsidR="006F29C3" w:rsidTr="0009156F" w14:paraId="1D8F601D" w14:textId="77777777">
        <w:tc>
          <w:tcPr>
            <w:tcW w:w="3005" w:type="dxa"/>
            <w:vAlign w:val="center"/>
          </w:tcPr>
          <w:p w:rsidR="006F29C3" w:rsidP="0009156F" w:rsidRDefault="006F29C3" w14:paraId="2564BC20" w14:textId="22315A55">
            <w:pPr>
              <w:rPr>
                <w:color w:val="000000"/>
              </w:rPr>
            </w:pPr>
            <w:r>
              <w:rPr>
                <w:color w:val="000000"/>
              </w:rPr>
              <w:t>Making decisions as to whether to engage with you on future projects</w:t>
            </w:r>
          </w:p>
        </w:tc>
        <w:tc>
          <w:tcPr>
            <w:tcW w:w="3005" w:type="dxa"/>
            <w:vAlign w:val="center"/>
          </w:tcPr>
          <w:p w:rsidRPr="004048BB" w:rsidR="006F29C3" w:rsidP="0009156F" w:rsidRDefault="006F29C3" w14:paraId="16DD1FD7" w14:textId="77777777">
            <w:pPr>
              <w:pStyle w:val="ListParagraph"/>
              <w:numPr>
                <w:ilvl w:val="0"/>
                <w:numId w:val="10"/>
              </w:numPr>
              <w:ind w:left="426" w:hanging="283"/>
              <w:rPr>
                <w:lang w:val="en-GB"/>
              </w:rPr>
            </w:pPr>
            <w:r w:rsidRPr="004048BB">
              <w:rPr>
                <w:lang w:val="en-GB"/>
              </w:rPr>
              <w:t>Contact and identity data</w:t>
            </w:r>
          </w:p>
          <w:p w:rsidRPr="006F29C3" w:rsidR="006F29C3" w:rsidP="0009156F" w:rsidRDefault="006F29C3" w14:paraId="2491DFC8" w14:textId="79867922">
            <w:pPr>
              <w:pStyle w:val="ListParagraph"/>
              <w:numPr>
                <w:ilvl w:val="0"/>
                <w:numId w:val="10"/>
              </w:numPr>
              <w:ind w:left="426" w:hanging="283"/>
              <w:rPr>
                <w:lang w:val="en-GB"/>
              </w:rPr>
            </w:pPr>
            <w:r w:rsidRPr="004048BB">
              <w:rPr>
                <w:lang w:val="en-GB"/>
              </w:rPr>
              <w:t>Previous experience data</w:t>
            </w:r>
          </w:p>
        </w:tc>
        <w:tc>
          <w:tcPr>
            <w:tcW w:w="3006" w:type="dxa"/>
          </w:tcPr>
          <w:p w:rsidRPr="006F29C3" w:rsidR="006F29C3" w:rsidP="00AC7F97" w:rsidRDefault="006F29C3" w14:paraId="0B42D26D" w14:textId="22A5959B">
            <w:pPr>
              <w:rPr>
                <w:lang w:val="en-GB"/>
              </w:rPr>
            </w:pPr>
            <w:r>
              <w:rPr>
                <w:b/>
                <w:bCs/>
                <w:lang w:val="en-GB"/>
              </w:rPr>
              <w:t xml:space="preserve">Legitimate interests – </w:t>
            </w:r>
            <w:r>
              <w:rPr>
                <w:lang w:val="en-GB"/>
              </w:rPr>
              <w:t xml:space="preserve">it is in our legitimate interests to process this personal data </w:t>
            </w:r>
            <w:r w:rsidR="001C02FB">
              <w:rPr>
                <w:lang w:val="en-GB"/>
              </w:rPr>
              <w:t>to</w:t>
            </w:r>
            <w:r>
              <w:rPr>
                <w:lang w:val="en-GB"/>
              </w:rPr>
              <w:t xml:space="preserve"> determine whether we will engage with you for future projects</w:t>
            </w:r>
          </w:p>
        </w:tc>
      </w:tr>
      <w:tr w:rsidR="006F29C3" w:rsidTr="0009156F" w14:paraId="42719A46" w14:textId="77777777">
        <w:tc>
          <w:tcPr>
            <w:tcW w:w="3005" w:type="dxa"/>
            <w:vAlign w:val="center"/>
          </w:tcPr>
          <w:p w:rsidR="006F29C3" w:rsidP="0009156F" w:rsidRDefault="001C02FB" w14:paraId="31425DF3" w14:textId="39834453">
            <w:pPr>
              <w:rPr>
                <w:color w:val="000000"/>
              </w:rPr>
            </w:pPr>
            <w:r>
              <w:rPr>
                <w:color w:val="000000"/>
              </w:rPr>
              <w:t>Equal opportunities monitoring</w:t>
            </w:r>
          </w:p>
        </w:tc>
        <w:tc>
          <w:tcPr>
            <w:tcW w:w="3005" w:type="dxa"/>
            <w:vAlign w:val="center"/>
          </w:tcPr>
          <w:p w:rsidR="006F29C3" w:rsidP="0009156F" w:rsidRDefault="001C02FB" w14:paraId="15F336D9" w14:textId="77777777">
            <w:pPr>
              <w:pStyle w:val="ListParagraph"/>
              <w:numPr>
                <w:ilvl w:val="0"/>
                <w:numId w:val="10"/>
              </w:numPr>
              <w:ind w:left="426" w:hanging="283"/>
              <w:rPr>
                <w:lang w:val="en-GB"/>
              </w:rPr>
            </w:pPr>
            <w:r>
              <w:rPr>
                <w:lang w:val="en-GB"/>
              </w:rPr>
              <w:t>Contact and identity data</w:t>
            </w:r>
          </w:p>
          <w:p w:rsidRPr="00311893" w:rsidR="001C02FB" w:rsidP="0009156F" w:rsidRDefault="001C02FB" w14:paraId="47EEA24B" w14:textId="4FC65D9C">
            <w:pPr>
              <w:pStyle w:val="ListParagraph"/>
              <w:numPr>
                <w:ilvl w:val="0"/>
                <w:numId w:val="10"/>
              </w:numPr>
              <w:ind w:left="426" w:hanging="283"/>
              <w:rPr>
                <w:lang w:val="en-GB"/>
              </w:rPr>
            </w:pPr>
            <w:r w:rsidRPr="00311893">
              <w:rPr>
                <w:lang w:val="en-GB"/>
              </w:rPr>
              <w:t>Race or ethnic origin</w:t>
            </w:r>
          </w:p>
          <w:p w:rsidRPr="00311893" w:rsidR="001C02FB" w:rsidP="0009156F" w:rsidRDefault="001C02FB" w14:paraId="28D4E7CC" w14:textId="336549A0">
            <w:pPr>
              <w:pStyle w:val="ListParagraph"/>
              <w:numPr>
                <w:ilvl w:val="0"/>
                <w:numId w:val="10"/>
              </w:numPr>
              <w:ind w:left="426" w:hanging="283"/>
              <w:rPr>
                <w:lang w:val="en-GB"/>
              </w:rPr>
            </w:pPr>
            <w:r w:rsidRPr="00311893">
              <w:rPr>
                <w:lang w:val="en-GB"/>
              </w:rPr>
              <w:t>Religious or philosophical beliefs</w:t>
            </w:r>
          </w:p>
          <w:p w:rsidRPr="00311893" w:rsidR="001C02FB" w:rsidP="0009156F" w:rsidRDefault="001C02FB" w14:paraId="0ACD3AB4" w14:textId="0CD06FFF">
            <w:pPr>
              <w:pStyle w:val="ListParagraph"/>
              <w:numPr>
                <w:ilvl w:val="0"/>
                <w:numId w:val="10"/>
              </w:numPr>
              <w:ind w:left="426" w:hanging="283"/>
              <w:rPr>
                <w:lang w:val="en-GB"/>
              </w:rPr>
            </w:pPr>
            <w:r w:rsidRPr="00311893">
              <w:rPr>
                <w:lang w:val="en-GB"/>
              </w:rPr>
              <w:t>Trade union membership</w:t>
            </w:r>
          </w:p>
          <w:p w:rsidRPr="00311893" w:rsidR="001C02FB" w:rsidP="0009156F" w:rsidRDefault="001C02FB" w14:paraId="7E51CAB4" w14:textId="77777777">
            <w:pPr>
              <w:pStyle w:val="ListParagraph"/>
              <w:numPr>
                <w:ilvl w:val="0"/>
                <w:numId w:val="10"/>
              </w:numPr>
              <w:ind w:left="426" w:hanging="283"/>
              <w:rPr>
                <w:lang w:val="en-GB"/>
              </w:rPr>
            </w:pPr>
            <w:r w:rsidRPr="00311893">
              <w:rPr>
                <w:lang w:val="en-GB"/>
              </w:rPr>
              <w:t>Health data; and</w:t>
            </w:r>
          </w:p>
          <w:p w:rsidRPr="004048BB" w:rsidR="001C02FB" w:rsidP="0009156F" w:rsidRDefault="001C02FB" w14:paraId="5A1AF3DD" w14:textId="22DA47E4">
            <w:pPr>
              <w:pStyle w:val="ListParagraph"/>
              <w:numPr>
                <w:ilvl w:val="0"/>
                <w:numId w:val="10"/>
              </w:numPr>
              <w:ind w:left="426" w:hanging="283"/>
              <w:rPr>
                <w:lang w:val="en-GB"/>
              </w:rPr>
            </w:pPr>
            <w:r w:rsidRPr="00311893">
              <w:rPr>
                <w:lang w:val="en-GB"/>
              </w:rPr>
              <w:t>Criminal conviction data</w:t>
            </w:r>
          </w:p>
        </w:tc>
        <w:tc>
          <w:tcPr>
            <w:tcW w:w="3006" w:type="dxa"/>
          </w:tcPr>
          <w:p w:rsidR="006F29C3" w:rsidP="00AC7F97" w:rsidRDefault="001C02FB" w14:paraId="570A5527" w14:textId="6CA50CF4">
            <w:pPr>
              <w:rPr>
                <w:b/>
                <w:bCs/>
                <w:lang w:val="en-GB"/>
              </w:rPr>
            </w:pPr>
            <w:r w:rsidRPr="001C02FB">
              <w:rPr>
                <w:b/>
                <w:bCs/>
                <w:lang w:val="en-GB"/>
              </w:rPr>
              <w:t>Consent</w:t>
            </w:r>
            <w:r>
              <w:rPr>
                <w:b/>
                <w:bCs/>
                <w:lang w:val="en-GB"/>
              </w:rPr>
              <w:t xml:space="preserve"> </w:t>
            </w:r>
            <w:r>
              <w:rPr>
                <w:lang w:val="en-GB"/>
              </w:rPr>
              <w:t>– t</w:t>
            </w:r>
            <w:r w:rsidRPr="001C02FB">
              <w:rPr>
                <w:lang w:val="en-GB"/>
              </w:rPr>
              <w:t xml:space="preserve">o be obtained at the start of employment for processing equal opportunities </w:t>
            </w:r>
            <w:r w:rsidR="00317D20">
              <w:rPr>
                <w:lang w:val="en-GB"/>
              </w:rPr>
              <w:t xml:space="preserve">information </w:t>
            </w:r>
            <w:r w:rsidRPr="001C02FB">
              <w:rPr>
                <w:lang w:val="en-GB"/>
              </w:rPr>
              <w:t>and which may be used for gender pay reporting and to track diversity/equal opportunities</w:t>
            </w:r>
          </w:p>
        </w:tc>
      </w:tr>
      <w:tr w:rsidR="006F29C3" w:rsidTr="0009156F" w14:paraId="6EAD3E36" w14:textId="77777777">
        <w:tc>
          <w:tcPr>
            <w:tcW w:w="3005" w:type="dxa"/>
            <w:vAlign w:val="center"/>
          </w:tcPr>
          <w:p w:rsidR="006F29C3" w:rsidP="0009156F" w:rsidRDefault="001C02FB" w14:paraId="3FA2E3B1" w14:textId="433CBCB7">
            <w:pPr>
              <w:rPr>
                <w:color w:val="000000"/>
              </w:rPr>
            </w:pPr>
            <w:r>
              <w:t xml:space="preserve">Complying with applicable laws and regulation, including </w:t>
            </w:r>
            <w:r w:rsidR="00515F1A">
              <w:t>laws relating to tax, working time and health and safety regulations</w:t>
            </w:r>
          </w:p>
        </w:tc>
        <w:tc>
          <w:tcPr>
            <w:tcW w:w="3005" w:type="dxa"/>
            <w:vAlign w:val="center"/>
          </w:tcPr>
          <w:p w:rsidR="00515F1A" w:rsidP="0009156F" w:rsidRDefault="00515F1A" w14:paraId="70320F6C" w14:textId="77777777">
            <w:pPr>
              <w:pStyle w:val="ListParagraph"/>
              <w:numPr>
                <w:ilvl w:val="0"/>
                <w:numId w:val="10"/>
              </w:numPr>
              <w:ind w:left="426" w:hanging="283"/>
              <w:rPr>
                <w:lang w:val="en-GB"/>
              </w:rPr>
            </w:pPr>
            <w:r w:rsidRPr="004048BB">
              <w:rPr>
                <w:lang w:val="en-GB"/>
              </w:rPr>
              <w:t>Contact and identity data</w:t>
            </w:r>
          </w:p>
          <w:p w:rsidRPr="004048BB" w:rsidR="006F29C3" w:rsidP="0009156F" w:rsidRDefault="00515F1A" w14:paraId="6705CC20" w14:textId="4B868AC2">
            <w:pPr>
              <w:pStyle w:val="ListParagraph"/>
              <w:numPr>
                <w:ilvl w:val="0"/>
                <w:numId w:val="10"/>
              </w:numPr>
              <w:ind w:left="426" w:hanging="283"/>
              <w:rPr>
                <w:lang w:val="en-GB"/>
              </w:rPr>
            </w:pPr>
            <w:r>
              <w:rPr>
                <w:lang w:val="en-GB"/>
              </w:rPr>
              <w:t>Remuneration data</w:t>
            </w:r>
          </w:p>
        </w:tc>
        <w:tc>
          <w:tcPr>
            <w:tcW w:w="3006" w:type="dxa"/>
          </w:tcPr>
          <w:p w:rsidRPr="00515F1A" w:rsidR="006F29C3" w:rsidP="00AC7F97" w:rsidRDefault="00515F1A" w14:paraId="6474C4C2" w14:textId="45691DB2">
            <w:pPr>
              <w:rPr>
                <w:lang w:val="en-GB"/>
              </w:rPr>
            </w:pPr>
            <w:r>
              <w:rPr>
                <w:b/>
                <w:bCs/>
                <w:lang w:val="en-GB"/>
              </w:rPr>
              <w:t xml:space="preserve">Legal obligation – </w:t>
            </w:r>
            <w:r>
              <w:rPr>
                <w:lang w:val="en-GB"/>
              </w:rPr>
              <w:t>we have a legal obligation to collect and report this information to relevant legal and regulatory bodies</w:t>
            </w:r>
          </w:p>
        </w:tc>
      </w:tr>
      <w:tr w:rsidR="006F29C3" w:rsidTr="0009156F" w14:paraId="6CE83FC6" w14:textId="77777777">
        <w:tc>
          <w:tcPr>
            <w:tcW w:w="3005" w:type="dxa"/>
            <w:vAlign w:val="center"/>
          </w:tcPr>
          <w:p w:rsidRPr="00515F1A" w:rsidR="006F29C3" w:rsidP="0009156F" w:rsidRDefault="00515F1A" w14:paraId="35ED5367" w14:textId="3A119116">
            <w:pPr>
              <w:rPr>
                <w:color w:val="000000"/>
                <w:lang w:val="en-GB"/>
              </w:rPr>
            </w:pPr>
            <w:r>
              <w:t xml:space="preserve">To enforce </w:t>
            </w:r>
            <w:r w:rsidR="004F4082">
              <w:t xml:space="preserve">our </w:t>
            </w:r>
            <w:r>
              <w:t>legal rights or defend or undertake legal proceeding</w:t>
            </w:r>
          </w:p>
        </w:tc>
        <w:tc>
          <w:tcPr>
            <w:tcW w:w="3005" w:type="dxa"/>
            <w:vAlign w:val="center"/>
          </w:tcPr>
          <w:p w:rsidR="006F29C3" w:rsidP="0009156F" w:rsidRDefault="00515F1A" w14:paraId="6E359456" w14:textId="77777777">
            <w:pPr>
              <w:pStyle w:val="ListParagraph"/>
              <w:numPr>
                <w:ilvl w:val="0"/>
                <w:numId w:val="10"/>
              </w:numPr>
              <w:ind w:left="426" w:hanging="283"/>
              <w:rPr>
                <w:lang w:val="en-GB"/>
              </w:rPr>
            </w:pPr>
            <w:r>
              <w:rPr>
                <w:lang w:val="en-GB"/>
              </w:rPr>
              <w:t>Contact and identity data</w:t>
            </w:r>
          </w:p>
          <w:p w:rsidR="00515F1A" w:rsidP="0009156F" w:rsidRDefault="00515F1A" w14:paraId="5905B275" w14:textId="77777777">
            <w:pPr>
              <w:pStyle w:val="ListParagraph"/>
              <w:numPr>
                <w:ilvl w:val="0"/>
                <w:numId w:val="10"/>
              </w:numPr>
              <w:ind w:left="426" w:hanging="283"/>
              <w:rPr>
                <w:lang w:val="en-GB"/>
              </w:rPr>
            </w:pPr>
            <w:r>
              <w:rPr>
                <w:lang w:val="en-GB"/>
              </w:rPr>
              <w:t>Communication data</w:t>
            </w:r>
          </w:p>
          <w:p w:rsidRPr="004048BB" w:rsidR="00515F1A" w:rsidP="0009156F" w:rsidRDefault="00515F1A" w14:paraId="6CA55DBF" w14:textId="0F7086DB">
            <w:pPr>
              <w:pStyle w:val="ListParagraph"/>
              <w:numPr>
                <w:ilvl w:val="0"/>
                <w:numId w:val="10"/>
              </w:numPr>
              <w:ind w:left="426" w:hanging="283"/>
              <w:rPr>
                <w:lang w:val="en-GB"/>
              </w:rPr>
            </w:pPr>
            <w:r>
              <w:rPr>
                <w:lang w:val="en-GB"/>
              </w:rPr>
              <w:t>Remuneration data</w:t>
            </w:r>
          </w:p>
        </w:tc>
        <w:tc>
          <w:tcPr>
            <w:tcW w:w="3006" w:type="dxa"/>
          </w:tcPr>
          <w:p w:rsidRPr="00515F1A" w:rsidR="006F29C3" w:rsidP="00AC7F97" w:rsidRDefault="00515F1A" w14:paraId="1F0A6598" w14:textId="12EEDDEF">
            <w:pPr>
              <w:rPr>
                <w:lang w:val="en-GB"/>
              </w:rPr>
            </w:pPr>
            <w:r>
              <w:rPr>
                <w:b/>
                <w:bCs/>
                <w:lang w:val="en-GB"/>
              </w:rPr>
              <w:t xml:space="preserve">Legitimate interests – </w:t>
            </w:r>
            <w:r>
              <w:rPr>
                <w:lang w:val="en-GB"/>
              </w:rPr>
              <w:t>we have a legitimate interest to protect our business interests and rights</w:t>
            </w:r>
          </w:p>
        </w:tc>
      </w:tr>
    </w:tbl>
    <w:p w:rsidR="00071786" w:rsidP="00AC7F97" w:rsidRDefault="00071786" w14:paraId="17AC5D89" w14:textId="77777777">
      <w:pPr>
        <w:jc w:val="both"/>
        <w:rPr>
          <w:lang w:val="en-GB"/>
        </w:rPr>
      </w:pPr>
    </w:p>
    <w:p w:rsidR="005F7110" w:rsidP="005F7110" w:rsidRDefault="00001DDC" w14:paraId="152A760D" w14:textId="0FBA10D4">
      <w:pPr>
        <w:pStyle w:val="Heading1"/>
        <w:numPr>
          <w:ilvl w:val="0"/>
          <w:numId w:val="15"/>
        </w:numPr>
        <w:jc w:val="both"/>
        <w:rPr>
          <w:rFonts w:cs="Arial"/>
          <w:szCs w:val="20"/>
        </w:rPr>
      </w:pPr>
      <w:r w:rsidRPr="0050048A">
        <w:rPr>
          <w:rFonts w:cs="Arial"/>
          <w:szCs w:val="20"/>
        </w:rPr>
        <w:t>Sharing your personal information outside of the Fremantle group</w:t>
      </w:r>
    </w:p>
    <w:p w:rsidRPr="005F7110" w:rsidR="005F7110" w:rsidP="005F7110" w:rsidRDefault="005F7110" w14:paraId="3AF25BF7" w14:textId="77777777"/>
    <w:p w:rsidRPr="00E815C4" w:rsidR="005F7110" w:rsidP="005F7110" w:rsidRDefault="005F7110" w14:paraId="5EF315ED" w14:textId="77777777">
      <w:pPr>
        <w:jc w:val="both"/>
      </w:pPr>
      <w:r w:rsidRPr="00E815C4">
        <w:t xml:space="preserve">We may share personal information about participants with specific companies and </w:t>
      </w:r>
      <w:proofErr w:type="spellStart"/>
      <w:r w:rsidRPr="00E815C4">
        <w:t>organisations</w:t>
      </w:r>
      <w:proofErr w:type="spellEnd"/>
      <w:r w:rsidRPr="00E815C4">
        <w:t xml:space="preserve"> in connection with our Productions. These include:</w:t>
      </w:r>
    </w:p>
    <w:p w:rsidRPr="00E815C4" w:rsidR="005F7110" w:rsidP="005F7110" w:rsidRDefault="005F7110" w14:paraId="2E9D1CE9" w14:textId="77777777">
      <w:pPr>
        <w:numPr>
          <w:ilvl w:val="0"/>
          <w:numId w:val="16"/>
        </w:numPr>
        <w:spacing w:after="160" w:line="278" w:lineRule="auto"/>
        <w:jc w:val="both"/>
      </w:pPr>
      <w:r w:rsidRPr="00E815C4">
        <w:t>Companies within the Fremantle Group;</w:t>
      </w:r>
    </w:p>
    <w:p w:rsidRPr="00E815C4" w:rsidR="005F7110" w:rsidP="005F7110" w:rsidRDefault="005F7110" w14:paraId="5C6ADB21" w14:textId="77777777">
      <w:pPr>
        <w:numPr>
          <w:ilvl w:val="0"/>
          <w:numId w:val="16"/>
        </w:numPr>
        <w:spacing w:after="160" w:line="278" w:lineRule="auto"/>
        <w:jc w:val="both"/>
      </w:pPr>
      <w:r w:rsidRPr="00E815C4">
        <w:t>Co-producers of the Production;</w:t>
      </w:r>
    </w:p>
    <w:p w:rsidRPr="00E815C4" w:rsidR="005F7110" w:rsidP="005F7110" w:rsidRDefault="005F7110" w14:paraId="0A655B95" w14:textId="77777777">
      <w:pPr>
        <w:numPr>
          <w:ilvl w:val="0"/>
          <w:numId w:val="16"/>
        </w:numPr>
        <w:spacing w:after="160" w:line="278" w:lineRule="auto"/>
        <w:jc w:val="both"/>
      </w:pPr>
      <w:r w:rsidRPr="00E815C4">
        <w:t>The Production's broadcaster; and</w:t>
      </w:r>
      <w:r w:rsidRPr="00E815C4">
        <w:tab/>
      </w:r>
    </w:p>
    <w:p w:rsidRPr="00E815C4" w:rsidR="005F7110" w:rsidP="005F7110" w:rsidRDefault="005F7110" w14:paraId="6D770764" w14:textId="77777777">
      <w:pPr>
        <w:numPr>
          <w:ilvl w:val="0"/>
          <w:numId w:val="16"/>
        </w:numPr>
        <w:spacing w:after="160" w:line="278" w:lineRule="auto"/>
        <w:jc w:val="both"/>
      </w:pPr>
      <w:r w:rsidRPr="00E815C4">
        <w:t>Our legal advisors and other professional consultants.</w:t>
      </w:r>
    </w:p>
    <w:p w:rsidRPr="00E815C4" w:rsidR="005F7110" w:rsidP="005F7110" w:rsidRDefault="005F7110" w14:paraId="0A63843D" w14:textId="77777777">
      <w:pPr>
        <w:jc w:val="both"/>
      </w:pPr>
      <w:r w:rsidRPr="00E815C4">
        <w:t>Additionally, your information (including special category data, if applicable) may be shared with:</w:t>
      </w:r>
    </w:p>
    <w:p w:rsidRPr="00E815C4" w:rsidR="005F7110" w:rsidP="005F7110" w:rsidRDefault="005F7110" w14:paraId="26D4C3D8" w14:textId="77777777">
      <w:pPr>
        <w:numPr>
          <w:ilvl w:val="0"/>
          <w:numId w:val="17"/>
        </w:numPr>
        <w:spacing w:after="160" w:line="278" w:lineRule="auto"/>
        <w:jc w:val="both"/>
      </w:pPr>
      <w:r w:rsidRPr="00E815C4">
        <w:t>Insurers (both our own and the Production's insurers);</w:t>
      </w:r>
    </w:p>
    <w:p w:rsidRPr="00E815C4" w:rsidR="005F7110" w:rsidP="005F7110" w:rsidRDefault="005F7110" w14:paraId="4B6A0B56" w14:textId="77777777">
      <w:pPr>
        <w:numPr>
          <w:ilvl w:val="0"/>
          <w:numId w:val="17"/>
        </w:numPr>
        <w:spacing w:after="160" w:line="278" w:lineRule="auto"/>
        <w:jc w:val="both"/>
      </w:pPr>
      <w:r w:rsidRPr="00E815C4">
        <w:t>Health and safety advisers;</w:t>
      </w:r>
    </w:p>
    <w:p w:rsidRPr="00E815C4" w:rsidR="005F7110" w:rsidP="005F7110" w:rsidRDefault="005F7110" w14:paraId="3E41C23A" w14:textId="77777777">
      <w:pPr>
        <w:numPr>
          <w:ilvl w:val="0"/>
          <w:numId w:val="17"/>
        </w:numPr>
        <w:spacing w:after="160" w:line="278" w:lineRule="auto"/>
        <w:jc w:val="both"/>
      </w:pPr>
      <w:r w:rsidRPr="00E815C4">
        <w:t>Regulatory authorities;</w:t>
      </w:r>
    </w:p>
    <w:p w:rsidRPr="00E815C4" w:rsidR="005F7110" w:rsidP="005F7110" w:rsidRDefault="005F7110" w14:paraId="4E85A565" w14:textId="77777777">
      <w:pPr>
        <w:numPr>
          <w:ilvl w:val="0"/>
          <w:numId w:val="17"/>
        </w:numPr>
        <w:spacing w:after="160" w:line="278" w:lineRule="auto"/>
        <w:jc w:val="both"/>
      </w:pPr>
      <w:r w:rsidRPr="00E815C4">
        <w:t>Law enforcement, government agencies, and global news database services, to verify the information you have provided; and</w:t>
      </w:r>
    </w:p>
    <w:p w:rsidRPr="00E815C4" w:rsidR="005F7110" w:rsidP="005F7110" w:rsidRDefault="005F7110" w14:paraId="782700B5" w14:textId="77777777">
      <w:pPr>
        <w:numPr>
          <w:ilvl w:val="0"/>
          <w:numId w:val="17"/>
        </w:numPr>
        <w:spacing w:after="160" w:line="278" w:lineRule="auto"/>
        <w:jc w:val="both"/>
      </w:pPr>
      <w:r w:rsidRPr="00E815C4">
        <w:t>Medical professionals, including our company doctor and/or your own doctor, when necessary.</w:t>
      </w:r>
    </w:p>
    <w:p w:rsidR="005F7110" w:rsidP="005F7110" w:rsidRDefault="005F7110" w14:paraId="0B532AF9" w14:textId="77777777">
      <w:pPr>
        <w:jc w:val="both"/>
      </w:pPr>
      <w:r w:rsidRPr="00E815C4">
        <w:t>We also work with trusted third-party suppliers who process information on our behalf in accordance with our instructions.</w:t>
      </w:r>
    </w:p>
    <w:p w:rsidRPr="00E815C4" w:rsidR="006E5930" w:rsidP="005F7110" w:rsidRDefault="006E5930" w14:paraId="5216F744" w14:textId="77777777">
      <w:pPr>
        <w:jc w:val="both"/>
      </w:pPr>
    </w:p>
    <w:p w:rsidRPr="00E815C4" w:rsidR="005F7110" w:rsidP="005F7110" w:rsidRDefault="005F7110" w14:paraId="10A458D1" w14:textId="77777777">
      <w:pPr>
        <w:jc w:val="both"/>
      </w:pPr>
      <w:r w:rsidRPr="00E815C4">
        <w:t xml:space="preserve">Your personal </w:t>
      </w:r>
      <w:r>
        <w:t>data</w:t>
      </w:r>
      <w:r w:rsidRPr="00E815C4">
        <w:t xml:space="preserve"> will be made publicly available to the extent that it is included in the Production.</w:t>
      </w:r>
    </w:p>
    <w:p w:rsidRPr="00E815C4" w:rsidR="005F7110" w:rsidP="005F7110" w:rsidRDefault="005F7110" w14:paraId="0BF012E9" w14:textId="77777777">
      <w:pPr>
        <w:jc w:val="both"/>
      </w:pPr>
      <w:r w:rsidRPr="00E815C4">
        <w:br/>
      </w:r>
      <w:r w:rsidRPr="00E815C4">
        <w:t>If you are represented by a third party, we may also share your personal data with your agent or representative to fulfil the purposes outlined in this Privacy Notice.</w:t>
      </w:r>
    </w:p>
    <w:p w:rsidR="00001DDC" w:rsidP="00F52FFE" w:rsidRDefault="00001DDC" w14:paraId="241F1ABC" w14:textId="16D0F6F2">
      <w:pPr>
        <w:pStyle w:val="ListParagraph"/>
        <w:keepNext/>
        <w:keepLines/>
        <w:numPr>
          <w:ilvl w:val="0"/>
          <w:numId w:val="15"/>
        </w:numPr>
        <w:spacing w:before="360" w:after="80" w:line="278" w:lineRule="auto"/>
        <w:jc w:val="both"/>
        <w:outlineLvl w:val="0"/>
        <w:rPr>
          <w:rFonts w:cs="Arial" w:eastAsiaTheme="majorEastAsia"/>
          <w:b/>
          <w:kern w:val="2"/>
          <w:szCs w:val="20"/>
          <w:lang w:val="en-GB"/>
          <w14:ligatures w14:val="standardContextual"/>
        </w:rPr>
      </w:pPr>
      <w:r w:rsidRPr="004E41EA">
        <w:rPr>
          <w:rFonts w:cs="Arial" w:eastAsiaTheme="majorEastAsia"/>
          <w:b/>
          <w:kern w:val="2"/>
          <w:szCs w:val="20"/>
          <w:lang w:val="en-GB"/>
          <w14:ligatures w14:val="standardContextual"/>
        </w:rPr>
        <w:t>Sending your personal information outside of the UK and EU</w:t>
      </w:r>
    </w:p>
    <w:p w:rsidRPr="00CC64C3" w:rsidR="00ED34D4" w:rsidP="00CC64C3" w:rsidRDefault="00ED34D4" w14:paraId="255A4AB8" w14:textId="18EF9AFF">
      <w:pPr>
        <w:jc w:val="both"/>
      </w:pPr>
      <w:r w:rsidRPr="00D91A56">
        <w:t>We may transfer your personal data outside the UK or EU, both within the Fremantle Group of companies and to service providers performing specific functions on our behalf. These transfers could involve sending personal data to countries whose laws may not offer the same level of data protection as those in the UK or EU. Whenever such transfers occur, we ensure that appropriate safeguards are in place to protect your personal data in accordance with applicable laws.</w:t>
      </w:r>
    </w:p>
    <w:p w:rsidRPr="00001DDC" w:rsidR="00001DDC" w:rsidP="00F52FFE" w:rsidRDefault="00001DDC" w14:paraId="4333A52C" w14:textId="77777777">
      <w:pPr>
        <w:keepNext/>
        <w:keepLines/>
        <w:numPr>
          <w:ilvl w:val="0"/>
          <w:numId w:val="15"/>
        </w:numPr>
        <w:spacing w:before="360" w:after="80" w:line="278" w:lineRule="auto"/>
        <w:jc w:val="both"/>
        <w:outlineLvl w:val="0"/>
        <w:rPr>
          <w:rFonts w:eastAsiaTheme="majorEastAsia" w:cstheme="majorBidi"/>
          <w:b/>
          <w:kern w:val="2"/>
          <w:szCs w:val="40"/>
          <w:lang w:val="en-GB"/>
          <w14:ligatures w14:val="standardContextual"/>
        </w:rPr>
      </w:pPr>
      <w:r w:rsidRPr="00001DDC">
        <w:rPr>
          <w:rFonts w:eastAsiaTheme="majorEastAsia" w:cstheme="majorBidi"/>
          <w:b/>
          <w:kern w:val="2"/>
          <w:szCs w:val="40"/>
          <w:lang w:val="en-GB"/>
          <w14:ligatures w14:val="standardContextual"/>
        </w:rPr>
        <w:t xml:space="preserve">Data security </w:t>
      </w:r>
    </w:p>
    <w:p w:rsidRPr="00001DDC" w:rsidR="00001DDC" w:rsidP="00AC7F97" w:rsidRDefault="00001DDC" w14:paraId="2F544EBE" w14:textId="77777777">
      <w:pPr>
        <w:spacing w:after="160" w:line="278" w:lineRule="auto"/>
        <w:jc w:val="both"/>
        <w:rPr>
          <w:rFonts w:cs="Arial" w:eastAsiaTheme="minorHAnsi"/>
          <w:kern w:val="2"/>
          <w:szCs w:val="20"/>
          <w:lang w:val="en-GB"/>
          <w14:ligatures w14:val="standardContextual"/>
        </w:rPr>
      </w:pPr>
      <w:r w:rsidRPr="00001DDC">
        <w:rPr>
          <w:rFonts w:cs="Arial" w:eastAsiaTheme="minorHAnsi"/>
          <w:kern w:val="2"/>
          <w:szCs w:val="20"/>
          <w:lang w:val="en-GB"/>
          <w14:ligatures w14:val="standardContextual"/>
        </w:rPr>
        <w:t>We have put in place appropriate security measures to prevent your personal data from being accidentally lost, used or accessed in an unauthorised manner,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rsidRPr="00001DDC" w:rsidR="00001DDC" w:rsidP="00F52FFE" w:rsidRDefault="00001DDC" w14:paraId="505DACFC" w14:textId="77777777">
      <w:pPr>
        <w:keepNext/>
        <w:keepLines/>
        <w:numPr>
          <w:ilvl w:val="0"/>
          <w:numId w:val="15"/>
        </w:numPr>
        <w:spacing w:before="360" w:after="80" w:line="278" w:lineRule="auto"/>
        <w:jc w:val="both"/>
        <w:outlineLvl w:val="0"/>
        <w:rPr>
          <w:rFonts w:eastAsiaTheme="majorEastAsia" w:cstheme="majorBidi"/>
          <w:b/>
          <w:kern w:val="2"/>
          <w:szCs w:val="40"/>
          <w:lang w:val="en-GB"/>
          <w14:ligatures w14:val="standardContextual"/>
        </w:rPr>
      </w:pPr>
      <w:r w:rsidRPr="00001DDC">
        <w:rPr>
          <w:rFonts w:eastAsiaTheme="majorEastAsia" w:cstheme="majorBidi"/>
          <w:b/>
          <w:kern w:val="2"/>
          <w:szCs w:val="40"/>
          <w:lang w:val="en-GB"/>
          <w14:ligatures w14:val="standardContextual"/>
        </w:rPr>
        <w:t>Data retention</w:t>
      </w:r>
    </w:p>
    <w:p w:rsidR="00CF0A63" w:rsidP="00CF0A63" w:rsidRDefault="00CF0A63" w14:paraId="38E756A7" w14:textId="77777777">
      <w:pPr>
        <w:jc w:val="both"/>
      </w:pPr>
      <w:r w:rsidRPr="00502F34">
        <w:t>The personal data collected about you when you apply to, contribute to, participate in, or perform on the Production will be retained by us for as long as necessary to fulfil the contract, support our legitimate business interests (such as broadcasting, distribution, publicisation and exploitation of the Production), or comply with legal or regulatory obligations applicable to us.</w:t>
      </w:r>
    </w:p>
    <w:p w:rsidRPr="00502F34" w:rsidR="00702093" w:rsidP="00CF0A63" w:rsidRDefault="00702093" w14:paraId="313F9E98" w14:textId="77777777">
      <w:pPr>
        <w:jc w:val="both"/>
      </w:pPr>
    </w:p>
    <w:p w:rsidR="00CF0A63" w:rsidP="00CF0A63" w:rsidRDefault="00CF0A63" w14:paraId="1DF40628" w14:textId="77777777">
      <w:pPr>
        <w:jc w:val="both"/>
      </w:pPr>
      <w:r w:rsidRPr="00502F34">
        <w:t>Where you participate and/contribute to a Production we will retain footage of you, personal information included in the Contract, details required to fulfill ongoing payment obligations, records of your participation in the Production, and information in any publicity material for as long as necessary for the exploitation of the Production. This may include indefinite retention to facilitate airing, re-airing, exhibiting, or publishing the Production (in whole or in part), except in the following cases:</w:t>
      </w:r>
    </w:p>
    <w:p w:rsidRPr="00502F34" w:rsidR="00702093" w:rsidP="00CF0A63" w:rsidRDefault="00702093" w14:paraId="62A136B6" w14:textId="77777777">
      <w:pPr>
        <w:jc w:val="both"/>
      </w:pPr>
    </w:p>
    <w:p w:rsidRPr="00502F34" w:rsidR="00CF0A63" w:rsidP="00CF0A63" w:rsidRDefault="00CF0A63" w14:paraId="359CFCEE" w14:textId="77777777">
      <w:pPr>
        <w:numPr>
          <w:ilvl w:val="0"/>
          <w:numId w:val="18"/>
        </w:numPr>
        <w:spacing w:after="160" w:line="278" w:lineRule="auto"/>
        <w:jc w:val="both"/>
      </w:pPr>
      <w:r w:rsidRPr="00502F34">
        <w:rPr>
          <w:b/>
          <w:bCs/>
        </w:rPr>
        <w:t>Bank details, and information collected for a child performance license</w:t>
      </w:r>
      <w:r w:rsidRPr="00502F34">
        <w:t xml:space="preserve"> will be deleted six months after the end of Production.</w:t>
      </w:r>
    </w:p>
    <w:p w:rsidR="00CF0A63" w:rsidP="00CF0A63" w:rsidRDefault="00CF0A63" w14:paraId="59647C32" w14:textId="77777777">
      <w:pPr>
        <w:numPr>
          <w:ilvl w:val="0"/>
          <w:numId w:val="18"/>
        </w:numPr>
        <w:spacing w:after="160" w:line="278" w:lineRule="auto"/>
        <w:jc w:val="both"/>
      </w:pPr>
      <w:r w:rsidRPr="00502F34">
        <w:rPr>
          <w:b/>
          <w:bCs/>
        </w:rPr>
        <w:t>Copies of your passport</w:t>
      </w:r>
      <w:r w:rsidRPr="00502F34">
        <w:t xml:space="preserve"> will be deleted two years after the end of Production.</w:t>
      </w:r>
    </w:p>
    <w:p w:rsidRPr="00702093" w:rsidR="00001DDC" w:rsidP="00CF0A63" w:rsidRDefault="00CF0A63" w14:paraId="537A6B11" w14:textId="1741FBC5">
      <w:pPr>
        <w:numPr>
          <w:ilvl w:val="0"/>
          <w:numId w:val="18"/>
        </w:numPr>
        <w:spacing w:after="160" w:line="278" w:lineRule="auto"/>
        <w:jc w:val="both"/>
      </w:pPr>
      <w:r w:rsidRPr="00CF0A63">
        <w:rPr>
          <w:b/>
          <w:bCs/>
        </w:rPr>
        <w:t>Contractual documentation (e.g., contributor/candidate agreements)</w:t>
      </w:r>
      <w:r w:rsidRPr="00502F34">
        <w:t xml:space="preserve"> will be retained for the duration of the Production’s copyright period to support its distribution and exploitation</w:t>
      </w:r>
      <w:r w:rsidRPr="00CF0A63" w:rsidR="00001DDC">
        <w:rPr>
          <w:rFonts w:cs="Arial" w:eastAsiaTheme="majorEastAsia"/>
          <w:b/>
          <w:kern w:val="2"/>
          <w:szCs w:val="20"/>
          <w:lang w:val="en-GB"/>
          <w14:ligatures w14:val="standardContextual"/>
        </w:rPr>
        <w:t>Your legal rights</w:t>
      </w:r>
    </w:p>
    <w:p w:rsidRPr="008820FE" w:rsidR="008820FE" w:rsidP="008820FE" w:rsidRDefault="008820FE" w14:paraId="4FD412B6" w14:textId="77777777">
      <w:pPr>
        <w:keepNext/>
        <w:keepLines/>
        <w:numPr>
          <w:ilvl w:val="0"/>
          <w:numId w:val="19"/>
        </w:numPr>
        <w:spacing w:before="360" w:after="80" w:line="278" w:lineRule="auto"/>
        <w:jc w:val="both"/>
        <w:outlineLvl w:val="0"/>
        <w:rPr>
          <w:rFonts w:eastAsiaTheme="majorEastAsia" w:cstheme="majorBidi"/>
          <w:b/>
          <w:kern w:val="2"/>
          <w:szCs w:val="40"/>
          <w:lang w:val="en-GB"/>
          <w14:ligatures w14:val="standardContextual"/>
        </w:rPr>
      </w:pPr>
      <w:r w:rsidRPr="008820FE">
        <w:rPr>
          <w:rFonts w:eastAsiaTheme="majorEastAsia" w:cstheme="majorBidi"/>
          <w:b/>
          <w:kern w:val="2"/>
          <w:szCs w:val="40"/>
          <w:lang w:val="en-GB"/>
          <w14:ligatures w14:val="standardContextual"/>
        </w:rPr>
        <w:t>Your legal rights</w:t>
      </w:r>
    </w:p>
    <w:p w:rsidRPr="008820FE" w:rsidR="008820FE" w:rsidP="008820FE" w:rsidRDefault="008820FE" w14:paraId="15DEA850" w14:textId="77777777">
      <w:pPr>
        <w:jc w:val="both"/>
        <w:textAlignment w:val="baseline"/>
        <w:rPr>
          <w:rFonts w:cs="Arial" w:eastAsiaTheme="majorEastAsia"/>
          <w:szCs w:val="20"/>
          <w:lang w:val="en-GB" w:eastAsia="en-GB"/>
        </w:rPr>
      </w:pPr>
      <w:r w:rsidRPr="008820FE">
        <w:rPr>
          <w:rFonts w:cs="Arial" w:eastAsiaTheme="majorEastAsia"/>
          <w:szCs w:val="20"/>
          <w:lang w:val="en-GB" w:eastAsia="en-GB"/>
        </w:rPr>
        <w:t>Privacy laws applicable in your country may give you the following rights:</w:t>
      </w:r>
    </w:p>
    <w:p w:rsidRPr="008820FE" w:rsidR="008820FE" w:rsidP="008820FE" w:rsidRDefault="008820FE" w14:paraId="19EBB086" w14:textId="77777777">
      <w:pPr>
        <w:numPr>
          <w:ilvl w:val="0"/>
          <w:numId w:val="20"/>
        </w:numPr>
        <w:spacing w:before="240" w:after="160" w:line="278" w:lineRule="auto"/>
        <w:ind w:left="851" w:hanging="425"/>
        <w:jc w:val="both"/>
        <w:textAlignment w:val="baseline"/>
        <w:rPr>
          <w:rFonts w:cs="Arial"/>
          <w:szCs w:val="20"/>
          <w:lang w:val="en-GB" w:eastAsia="en-GB"/>
        </w:rPr>
      </w:pPr>
      <w:r w:rsidRPr="008820FE">
        <w:rPr>
          <w:rFonts w:cs="Arial" w:eastAsiaTheme="majorEastAsia"/>
          <w:szCs w:val="20"/>
          <w:lang w:val="en-GB" w:eastAsia="en-GB"/>
        </w:rPr>
        <w:t>The right to be informed; </w:t>
      </w:r>
    </w:p>
    <w:p w:rsidRPr="008820FE" w:rsidR="008820FE" w:rsidP="008820FE" w:rsidRDefault="008820FE" w14:paraId="01DFC5A6" w14:textId="77777777">
      <w:pPr>
        <w:numPr>
          <w:ilvl w:val="0"/>
          <w:numId w:val="21"/>
        </w:numPr>
        <w:spacing w:before="240" w:after="160" w:line="278" w:lineRule="auto"/>
        <w:ind w:left="851" w:hanging="425"/>
        <w:jc w:val="both"/>
        <w:textAlignment w:val="baseline"/>
        <w:rPr>
          <w:rFonts w:cs="Arial"/>
          <w:szCs w:val="20"/>
          <w:lang w:val="en-GB" w:eastAsia="en-GB"/>
        </w:rPr>
      </w:pPr>
      <w:r w:rsidRPr="008820FE">
        <w:rPr>
          <w:rFonts w:cs="Arial" w:eastAsiaTheme="majorEastAsia"/>
          <w:szCs w:val="20"/>
          <w:lang w:val="en-GB" w:eastAsia="en-GB"/>
        </w:rPr>
        <w:t>The right of access; </w:t>
      </w:r>
    </w:p>
    <w:p w:rsidRPr="008820FE" w:rsidR="008820FE" w:rsidP="008820FE" w:rsidRDefault="008820FE" w14:paraId="00AE10EE" w14:textId="77777777">
      <w:pPr>
        <w:numPr>
          <w:ilvl w:val="0"/>
          <w:numId w:val="22"/>
        </w:numPr>
        <w:spacing w:before="240" w:after="160" w:line="278" w:lineRule="auto"/>
        <w:ind w:left="851" w:hanging="425"/>
        <w:jc w:val="both"/>
        <w:textAlignment w:val="baseline"/>
        <w:rPr>
          <w:rFonts w:cs="Arial"/>
          <w:szCs w:val="20"/>
          <w:lang w:val="en-GB" w:eastAsia="en-GB"/>
        </w:rPr>
      </w:pPr>
      <w:r w:rsidRPr="008820FE">
        <w:rPr>
          <w:rFonts w:cs="Arial" w:eastAsiaTheme="majorEastAsia"/>
          <w:szCs w:val="20"/>
          <w:lang w:val="en-GB" w:eastAsia="en-GB"/>
        </w:rPr>
        <w:t>The right of rectification; </w:t>
      </w:r>
    </w:p>
    <w:p w:rsidRPr="008820FE" w:rsidR="008820FE" w:rsidP="008820FE" w:rsidRDefault="008820FE" w14:paraId="30CC209A" w14:textId="77777777">
      <w:pPr>
        <w:numPr>
          <w:ilvl w:val="0"/>
          <w:numId w:val="23"/>
        </w:numPr>
        <w:spacing w:before="240" w:after="160" w:line="278" w:lineRule="auto"/>
        <w:ind w:left="851" w:hanging="425"/>
        <w:jc w:val="both"/>
        <w:textAlignment w:val="baseline"/>
        <w:rPr>
          <w:rFonts w:cs="Arial"/>
          <w:szCs w:val="20"/>
          <w:lang w:val="en-GB" w:eastAsia="en-GB"/>
        </w:rPr>
      </w:pPr>
      <w:r w:rsidRPr="008820FE">
        <w:rPr>
          <w:rFonts w:cs="Arial" w:eastAsiaTheme="majorEastAsia"/>
          <w:szCs w:val="20"/>
          <w:lang w:val="en-GB" w:eastAsia="en-GB"/>
        </w:rPr>
        <w:t>The right to erasure; </w:t>
      </w:r>
    </w:p>
    <w:p w:rsidRPr="008820FE" w:rsidR="008820FE" w:rsidP="008820FE" w:rsidRDefault="008820FE" w14:paraId="220B8FE1" w14:textId="77777777">
      <w:pPr>
        <w:numPr>
          <w:ilvl w:val="0"/>
          <w:numId w:val="24"/>
        </w:numPr>
        <w:spacing w:before="240" w:after="160" w:line="278" w:lineRule="auto"/>
        <w:ind w:left="851" w:hanging="425"/>
        <w:jc w:val="both"/>
        <w:textAlignment w:val="baseline"/>
        <w:rPr>
          <w:rFonts w:cs="Arial"/>
          <w:szCs w:val="20"/>
          <w:lang w:val="en-GB" w:eastAsia="en-GB"/>
        </w:rPr>
      </w:pPr>
      <w:r w:rsidRPr="008820FE">
        <w:rPr>
          <w:rFonts w:cs="Arial" w:eastAsiaTheme="majorEastAsia"/>
          <w:szCs w:val="20"/>
          <w:lang w:val="en-GB" w:eastAsia="en-GB"/>
        </w:rPr>
        <w:t>The right to restrict processing; </w:t>
      </w:r>
    </w:p>
    <w:p w:rsidRPr="008820FE" w:rsidR="008820FE" w:rsidP="008820FE" w:rsidRDefault="008820FE" w14:paraId="309B6C90" w14:textId="77777777">
      <w:pPr>
        <w:numPr>
          <w:ilvl w:val="0"/>
          <w:numId w:val="25"/>
        </w:numPr>
        <w:spacing w:before="240" w:after="160" w:line="278" w:lineRule="auto"/>
        <w:ind w:left="851" w:hanging="425"/>
        <w:jc w:val="both"/>
        <w:textAlignment w:val="baseline"/>
        <w:rPr>
          <w:rFonts w:cs="Arial"/>
          <w:szCs w:val="20"/>
          <w:lang w:val="en-GB" w:eastAsia="en-GB"/>
        </w:rPr>
      </w:pPr>
      <w:r w:rsidRPr="008820FE">
        <w:rPr>
          <w:rFonts w:cs="Arial" w:eastAsiaTheme="majorEastAsia"/>
          <w:szCs w:val="20"/>
          <w:lang w:val="en-GB" w:eastAsia="en-GB"/>
        </w:rPr>
        <w:t>The right to data portability; </w:t>
      </w:r>
    </w:p>
    <w:p w:rsidRPr="008820FE" w:rsidR="008820FE" w:rsidP="008820FE" w:rsidRDefault="008820FE" w14:paraId="55A0ACE3" w14:textId="77777777">
      <w:pPr>
        <w:numPr>
          <w:ilvl w:val="0"/>
          <w:numId w:val="26"/>
        </w:numPr>
        <w:spacing w:before="240" w:after="160" w:line="278" w:lineRule="auto"/>
        <w:ind w:left="851" w:hanging="425"/>
        <w:jc w:val="both"/>
        <w:textAlignment w:val="baseline"/>
        <w:rPr>
          <w:rFonts w:cs="Arial"/>
          <w:szCs w:val="20"/>
          <w:lang w:val="en-GB" w:eastAsia="en-GB"/>
        </w:rPr>
      </w:pPr>
      <w:r w:rsidRPr="008820FE">
        <w:rPr>
          <w:rFonts w:cs="Arial" w:eastAsiaTheme="majorEastAsia"/>
          <w:szCs w:val="20"/>
          <w:lang w:val="en-GB" w:eastAsia="en-GB"/>
        </w:rPr>
        <w:t>The right to object to processing; and </w:t>
      </w:r>
    </w:p>
    <w:p w:rsidRPr="008820FE" w:rsidR="008820FE" w:rsidP="008820FE" w:rsidRDefault="008820FE" w14:paraId="1015571F" w14:textId="77777777">
      <w:pPr>
        <w:numPr>
          <w:ilvl w:val="0"/>
          <w:numId w:val="27"/>
        </w:numPr>
        <w:spacing w:before="240" w:after="160" w:line="278" w:lineRule="auto"/>
        <w:ind w:left="851" w:hanging="425"/>
        <w:jc w:val="both"/>
        <w:textAlignment w:val="baseline"/>
        <w:rPr>
          <w:rFonts w:cs="Arial"/>
          <w:szCs w:val="20"/>
          <w:lang w:val="en-GB" w:eastAsia="en-GB"/>
        </w:rPr>
      </w:pPr>
      <w:r w:rsidRPr="008820FE">
        <w:rPr>
          <w:rFonts w:cs="Arial" w:eastAsiaTheme="majorEastAsia"/>
          <w:szCs w:val="20"/>
          <w:lang w:val="en-GB" w:eastAsia="en-GB"/>
        </w:rPr>
        <w:t>Rights related to automated decision making. </w:t>
      </w:r>
    </w:p>
    <w:p w:rsidRPr="008820FE" w:rsidR="008820FE" w:rsidP="008820FE" w:rsidRDefault="008820FE" w14:paraId="1DBC098B" w14:textId="77777777">
      <w:pPr>
        <w:ind w:left="1080"/>
        <w:jc w:val="both"/>
        <w:textAlignment w:val="baseline"/>
        <w:rPr>
          <w:rFonts w:cs="Arial"/>
          <w:szCs w:val="20"/>
          <w:lang w:val="en-GB" w:eastAsia="en-GB"/>
        </w:rPr>
      </w:pPr>
    </w:p>
    <w:p w:rsidRPr="008820FE" w:rsidR="008820FE" w:rsidP="008820FE" w:rsidRDefault="008820FE" w14:paraId="51C6E5B3" w14:textId="77777777">
      <w:pPr>
        <w:jc w:val="both"/>
        <w:textAlignment w:val="baseline"/>
        <w:rPr>
          <w:rFonts w:cs="Arial" w:eastAsiaTheme="majorEastAsia"/>
          <w:szCs w:val="20"/>
          <w:lang w:val="en-GB" w:eastAsia="en-GB"/>
        </w:rPr>
      </w:pPr>
      <w:r w:rsidRPr="008820FE">
        <w:rPr>
          <w:rFonts w:cs="Arial" w:eastAsiaTheme="majorEastAsia"/>
          <w:szCs w:val="20"/>
          <w:lang w:val="en-GB" w:eastAsia="en-GB"/>
        </w:rPr>
        <w:t>The particular rights which are applicable to you (which might include other rights not listed above) may vary depending on your country. You should make yourself aware of the rights you have under applicable privacy laws in your country. </w:t>
      </w:r>
    </w:p>
    <w:p w:rsidRPr="008820FE" w:rsidR="008820FE" w:rsidP="008820FE" w:rsidRDefault="008820FE" w14:paraId="5666D373" w14:textId="77777777">
      <w:pPr>
        <w:jc w:val="both"/>
        <w:textAlignment w:val="baseline"/>
        <w:rPr>
          <w:rFonts w:ascii="Segoe UI" w:hAnsi="Segoe UI" w:cs="Segoe UI"/>
          <w:sz w:val="18"/>
          <w:szCs w:val="18"/>
          <w:lang w:val="en-GB" w:eastAsia="en-GB"/>
        </w:rPr>
      </w:pPr>
    </w:p>
    <w:p w:rsidRPr="008820FE" w:rsidR="008820FE" w:rsidP="008820FE" w:rsidRDefault="008820FE" w14:paraId="41CAD14C" w14:textId="77777777">
      <w:pPr>
        <w:jc w:val="both"/>
        <w:textAlignment w:val="baseline"/>
        <w:rPr>
          <w:rFonts w:cs="Arial" w:eastAsiaTheme="majorEastAsia"/>
          <w:szCs w:val="20"/>
          <w:lang w:val="en-GB" w:eastAsia="en-GB"/>
        </w:rPr>
      </w:pPr>
      <w:r w:rsidRPr="008820FE">
        <w:rPr>
          <w:rFonts w:cs="Arial" w:eastAsiaTheme="majorEastAsia"/>
          <w:szCs w:val="20"/>
          <w:lang w:val="en-GB" w:eastAsia="en-GB"/>
        </w:rPr>
        <w:t xml:space="preserve">If you would like to exercise any of the rights listed above, please email </w:t>
      </w:r>
      <w:hyperlink w:tgtFrame="_blank" w:history="1" r:id="rId11">
        <w:r w:rsidRPr="008820FE">
          <w:rPr>
            <w:rFonts w:cs="Arial" w:eastAsiaTheme="majorEastAsia"/>
            <w:color w:val="467886"/>
            <w:szCs w:val="20"/>
            <w:u w:val="single"/>
            <w:lang w:val="en-GB" w:eastAsia="en-GB"/>
          </w:rPr>
          <w:t>privacy.officer@fremantle.com</w:t>
        </w:r>
      </w:hyperlink>
      <w:r w:rsidRPr="008820FE">
        <w:rPr>
          <w:rFonts w:cs="Arial" w:eastAsiaTheme="majorEastAsia"/>
          <w:szCs w:val="20"/>
          <w:lang w:val="en-GB" w:eastAsia="en-GB"/>
        </w:rPr>
        <w:t>. </w:t>
      </w:r>
    </w:p>
    <w:p w:rsidRPr="008820FE" w:rsidR="008820FE" w:rsidP="008820FE" w:rsidRDefault="008820FE" w14:paraId="1CCC2761" w14:textId="77777777">
      <w:pPr>
        <w:jc w:val="both"/>
        <w:textAlignment w:val="baseline"/>
        <w:rPr>
          <w:rFonts w:cs="Arial" w:eastAsiaTheme="majorEastAsia"/>
          <w:szCs w:val="20"/>
          <w:lang w:val="en-GB" w:eastAsia="en-GB"/>
        </w:rPr>
      </w:pPr>
    </w:p>
    <w:p w:rsidRPr="008820FE" w:rsidR="008820FE" w:rsidP="008820FE" w:rsidRDefault="008820FE" w14:paraId="5F0F74C0" w14:textId="77777777">
      <w:pPr>
        <w:jc w:val="both"/>
        <w:textAlignment w:val="baseline"/>
        <w:rPr>
          <w:rFonts w:ascii="Segoe UI" w:hAnsi="Segoe UI" w:cs="Segoe UI"/>
          <w:sz w:val="18"/>
          <w:szCs w:val="18"/>
          <w:lang w:val="en-GB" w:eastAsia="en-GB"/>
        </w:rPr>
      </w:pPr>
      <w:r w:rsidRPr="008820FE">
        <w:rPr>
          <w:rFonts w:cs="Arial" w:eastAsiaTheme="majorEastAsia"/>
          <w:szCs w:val="20"/>
          <w:shd w:val="clear" w:color="auto" w:fill="FFFFFF"/>
          <w:lang w:val="en-GB" w:eastAsia="en-GB"/>
        </w:rPr>
        <w:t>If you feel we have not resolved your concern, you have the right to make a complaint at any time to the </w:t>
      </w:r>
      <w:hyperlink w:tgtFrame="_blank" w:history="1" r:id="rId12">
        <w:r w:rsidRPr="008820FE">
          <w:rPr>
            <w:rFonts w:cs="Arial" w:eastAsiaTheme="majorEastAsia"/>
            <w:szCs w:val="20"/>
            <w:shd w:val="clear" w:color="auto" w:fill="FFFFFF"/>
            <w:lang w:val="en-GB" w:eastAsia="en-GB"/>
          </w:rPr>
          <w:t>Information Commissioner’s Office (</w:t>
        </w:r>
        <w:r w:rsidRPr="008820FE">
          <w:rPr>
            <w:rFonts w:cs="Arial" w:eastAsiaTheme="majorEastAsia"/>
            <w:b/>
            <w:bCs/>
            <w:szCs w:val="20"/>
            <w:shd w:val="clear" w:color="auto" w:fill="FFFFFF"/>
            <w:lang w:val="en-GB" w:eastAsia="en-GB"/>
          </w:rPr>
          <w:t>ICO</w:t>
        </w:r>
        <w:r w:rsidRPr="008820FE">
          <w:rPr>
            <w:rFonts w:cs="Arial" w:eastAsiaTheme="majorEastAsia"/>
            <w:szCs w:val="20"/>
            <w:shd w:val="clear" w:color="auto" w:fill="FFFFFF"/>
            <w:lang w:val="en-GB" w:eastAsia="en-GB"/>
          </w:rPr>
          <w:t>)</w:t>
        </w:r>
      </w:hyperlink>
      <w:r w:rsidRPr="008820FE">
        <w:rPr>
          <w:rFonts w:cs="Arial" w:eastAsiaTheme="majorEastAsia"/>
          <w:szCs w:val="20"/>
          <w:shd w:val="clear" w:color="auto" w:fill="FFFFFF"/>
          <w:lang w:val="en-GB" w:eastAsia="en-GB"/>
        </w:rPr>
        <w:t>, the UK supervisory authority for data protection issues. If you live in a country or territory located in the European Union (</w:t>
      </w:r>
      <w:r w:rsidRPr="008820FE">
        <w:rPr>
          <w:rFonts w:cs="Arial" w:eastAsiaTheme="majorEastAsia"/>
          <w:b/>
          <w:bCs/>
          <w:szCs w:val="20"/>
          <w:shd w:val="clear" w:color="auto" w:fill="FFFFFF"/>
          <w:lang w:val="en-GB" w:eastAsia="en-GB"/>
        </w:rPr>
        <w:t>EU</w:t>
      </w:r>
      <w:r w:rsidRPr="008820FE">
        <w:rPr>
          <w:rFonts w:cs="Arial" w:eastAsiaTheme="majorEastAsia"/>
          <w:szCs w:val="20"/>
          <w:shd w:val="clear" w:color="auto" w:fill="FFFFFF"/>
          <w:lang w:val="en-GB" w:eastAsia="en-GB"/>
        </w:rPr>
        <w:t>) or European Economic Area (</w:t>
      </w:r>
      <w:r w:rsidRPr="008820FE">
        <w:rPr>
          <w:rFonts w:cs="Arial" w:eastAsiaTheme="majorEastAsia"/>
          <w:b/>
          <w:bCs/>
          <w:szCs w:val="20"/>
          <w:shd w:val="clear" w:color="auto" w:fill="FFFFFF"/>
          <w:lang w:val="en-GB" w:eastAsia="en-GB"/>
        </w:rPr>
        <w:t>EEA</w:t>
      </w:r>
      <w:r w:rsidRPr="008820FE">
        <w:rPr>
          <w:rFonts w:cs="Arial" w:eastAsiaTheme="majorEastAsia"/>
          <w:szCs w:val="20"/>
          <w:shd w:val="clear" w:color="auto" w:fill="FFFFFF"/>
          <w:lang w:val="en-GB" w:eastAsia="en-GB"/>
        </w:rPr>
        <w:t>), you may also get in touch with your local </w:t>
      </w:r>
      <w:hyperlink w:tgtFrame="_blank" w:history="1" r:id="rId13">
        <w:r w:rsidRPr="008820FE">
          <w:rPr>
            <w:rFonts w:cs="Arial" w:eastAsiaTheme="majorEastAsia"/>
            <w:szCs w:val="20"/>
            <w:shd w:val="clear" w:color="auto" w:fill="FFFFFF"/>
            <w:lang w:val="en-GB" w:eastAsia="en-GB"/>
          </w:rPr>
          <w:t>Data Protection Regulator</w:t>
        </w:r>
      </w:hyperlink>
      <w:r w:rsidRPr="008820FE">
        <w:rPr>
          <w:rFonts w:cs="Arial" w:eastAsiaTheme="majorEastAsia"/>
          <w:szCs w:val="20"/>
          <w:shd w:val="clear" w:color="auto" w:fill="FFFFFF"/>
          <w:lang w:val="en-GB" w:eastAsia="en-GB"/>
        </w:rPr>
        <w:t>. If you live in a country outside the EU, you may have the right to lodge a complaint with your local privacy or data protection regulator. </w:t>
      </w:r>
    </w:p>
    <w:p w:rsidRPr="008820FE" w:rsidR="008820FE" w:rsidP="008820FE" w:rsidRDefault="008820FE" w14:paraId="6EFED2A6" w14:textId="77777777">
      <w:pPr>
        <w:spacing w:after="160" w:line="278" w:lineRule="auto"/>
        <w:jc w:val="both"/>
        <w:rPr>
          <w:rFonts w:eastAsiaTheme="minorHAnsi" w:cstheme="minorBidi"/>
          <w:kern w:val="2"/>
          <w:lang w:val="en-GB"/>
          <w14:ligatures w14:val="standardContextual"/>
        </w:rPr>
      </w:pPr>
    </w:p>
    <w:p w:rsidRPr="008820FE" w:rsidR="008820FE" w:rsidP="008820FE" w:rsidRDefault="008820FE" w14:paraId="40E40F88" w14:textId="77777777">
      <w:pPr>
        <w:numPr>
          <w:ilvl w:val="0"/>
          <w:numId w:val="19"/>
        </w:numPr>
        <w:spacing w:after="160" w:line="278" w:lineRule="auto"/>
        <w:contextualSpacing/>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California Residents – your CCPA privacy rights</w:t>
      </w:r>
    </w:p>
    <w:p w:rsidRPr="008820FE" w:rsidR="008820FE" w:rsidP="008820FE" w:rsidRDefault="008820FE" w14:paraId="0834BD89" w14:textId="77777777">
      <w:pPr>
        <w:spacing w:after="160" w:line="278" w:lineRule="auto"/>
        <w:jc w:val="both"/>
        <w:rPr>
          <w:rFonts w:eastAsiaTheme="minorHAnsi" w:cstheme="minorBidi"/>
          <w:kern w:val="2"/>
          <w:lang w:val="en-GB"/>
          <w14:ligatures w14:val="standardContextual"/>
        </w:rPr>
      </w:pPr>
      <w:r w:rsidRPr="008820FE">
        <w:rPr>
          <w:rFonts w:eastAsiaTheme="minorHAnsi" w:cstheme="minorBidi"/>
          <w:kern w:val="2"/>
          <w:lang w:val="en-GB"/>
          <w14:ligatures w14:val="standardContextual"/>
        </w:rPr>
        <w:t>California residents have additional rights regarding their personal information:</w:t>
      </w:r>
    </w:p>
    <w:p w:rsidRPr="008820FE" w:rsidR="008820FE" w:rsidP="008820FE" w:rsidRDefault="008820FE" w14:paraId="6A57DE2C" w14:textId="77777777">
      <w:pPr>
        <w:numPr>
          <w:ilvl w:val="0"/>
          <w:numId w:val="28"/>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to Know</w:t>
      </w:r>
      <w:r w:rsidRPr="008820FE">
        <w:rPr>
          <w:rFonts w:eastAsiaTheme="minorHAnsi" w:cstheme="minorBidi"/>
          <w:kern w:val="2"/>
          <w:lang w:val="en-GB"/>
          <w14:ligatures w14:val="standardContextual"/>
        </w:rPr>
        <w:t>: You have the right to request disclosure of the categories and specific pieces of personal information we collect, use, and share.</w:t>
      </w:r>
    </w:p>
    <w:p w:rsidRPr="008820FE" w:rsidR="008820FE" w:rsidP="008820FE" w:rsidRDefault="008820FE" w14:paraId="47F34109" w14:textId="77777777">
      <w:pPr>
        <w:numPr>
          <w:ilvl w:val="0"/>
          <w:numId w:val="28"/>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to Delete</w:t>
      </w:r>
      <w:r w:rsidRPr="008820FE">
        <w:rPr>
          <w:rFonts w:eastAsiaTheme="minorHAnsi" w:cstheme="minorBidi"/>
          <w:kern w:val="2"/>
          <w:lang w:val="en-GB"/>
          <w14:ligatures w14:val="standardContextual"/>
        </w:rPr>
        <w:t>: You have the right to request the deletion of personal information collected from you, subject to certain exceptions.</w:t>
      </w:r>
    </w:p>
    <w:p w:rsidRPr="008820FE" w:rsidR="008820FE" w:rsidP="008820FE" w:rsidRDefault="008820FE" w14:paraId="5A12C432" w14:textId="77777777">
      <w:pPr>
        <w:numPr>
          <w:ilvl w:val="0"/>
          <w:numId w:val="28"/>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to Opt-Out of Sale or Sharing</w:t>
      </w:r>
      <w:r w:rsidRPr="008820FE">
        <w:rPr>
          <w:rFonts w:eastAsiaTheme="minorHAnsi" w:cstheme="minorBidi"/>
          <w:kern w:val="2"/>
          <w:lang w:val="en-GB"/>
          <w14:ligatures w14:val="standardContextual"/>
        </w:rPr>
        <w:t>: We do not sell your personal information. However, we may share it with third parties for specific purposes, as permitted by law.</w:t>
      </w:r>
    </w:p>
    <w:p w:rsidRPr="008820FE" w:rsidR="008820FE" w:rsidP="008820FE" w:rsidRDefault="008820FE" w14:paraId="1CFD8869" w14:textId="77777777">
      <w:pPr>
        <w:numPr>
          <w:ilvl w:val="0"/>
          <w:numId w:val="28"/>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to Correct</w:t>
      </w:r>
      <w:r w:rsidRPr="008820FE">
        <w:rPr>
          <w:rFonts w:eastAsiaTheme="minorHAnsi" w:cstheme="minorBidi"/>
          <w:kern w:val="2"/>
          <w:lang w:val="en-GB"/>
          <w14:ligatures w14:val="standardContextual"/>
        </w:rPr>
        <w:t>: You may request the correction of inaccurate personal information.</w:t>
      </w:r>
    </w:p>
    <w:p w:rsidRPr="008820FE" w:rsidR="008820FE" w:rsidP="008820FE" w:rsidRDefault="008820FE" w14:paraId="4566DA3E" w14:textId="77777777">
      <w:pPr>
        <w:numPr>
          <w:ilvl w:val="0"/>
          <w:numId w:val="28"/>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to Limit Use of Sensitive Information</w:t>
      </w:r>
      <w:r w:rsidRPr="008820FE">
        <w:rPr>
          <w:rFonts w:eastAsiaTheme="minorHAnsi" w:cstheme="minorBidi"/>
          <w:kern w:val="2"/>
          <w:lang w:val="en-GB"/>
          <w14:ligatures w14:val="standardContextual"/>
        </w:rPr>
        <w:t>: You may restrict the processing of sensitive personal information under certain circumstances.</w:t>
      </w:r>
    </w:p>
    <w:p w:rsidRPr="008820FE" w:rsidR="008820FE" w:rsidP="008820FE" w:rsidRDefault="008820FE" w14:paraId="15CF5BE9" w14:textId="77777777">
      <w:pPr>
        <w:numPr>
          <w:ilvl w:val="0"/>
          <w:numId w:val="28"/>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Against Discrimination</w:t>
      </w:r>
      <w:r w:rsidRPr="008820FE">
        <w:rPr>
          <w:rFonts w:eastAsiaTheme="minorHAnsi" w:cstheme="minorBidi"/>
          <w:kern w:val="2"/>
          <w:lang w:val="en-GB"/>
          <w14:ligatures w14:val="standardContextual"/>
        </w:rPr>
        <w:t>: We will not discriminate against you for exercising any of your rights under the CCPA/CPRA.</w:t>
      </w:r>
    </w:p>
    <w:p w:rsidRPr="008820FE" w:rsidR="008820FE" w:rsidP="008820FE" w:rsidRDefault="008820FE" w14:paraId="4F05B5E3" w14:textId="77777777">
      <w:pPr>
        <w:spacing w:after="160" w:line="278" w:lineRule="auto"/>
        <w:jc w:val="both"/>
        <w:rPr>
          <w:rFonts w:eastAsiaTheme="minorHAnsi" w:cstheme="minorBidi"/>
          <w:kern w:val="2"/>
          <w:lang w:val="en-GB"/>
          <w14:ligatures w14:val="standardContextual"/>
        </w:rPr>
      </w:pPr>
      <w:r w:rsidRPr="008820FE">
        <w:rPr>
          <w:rFonts w:eastAsiaTheme="minorHAnsi" w:cstheme="minorBidi"/>
          <w:kern w:val="2"/>
          <w:lang w:val="en-GB"/>
          <w14:ligatures w14:val="standardContextual"/>
        </w:rPr>
        <w:t xml:space="preserve">To exercise your CCPA rights, please submit a verifiable request by emailing </w:t>
      </w:r>
      <w:r w:rsidRPr="008820FE">
        <w:rPr>
          <w:rFonts w:eastAsiaTheme="minorHAnsi" w:cstheme="minorBidi"/>
          <w:b/>
          <w:bCs/>
          <w:kern w:val="2"/>
          <w:lang w:val="en-GB"/>
          <w14:ligatures w14:val="standardContextual"/>
        </w:rPr>
        <w:t>privacy.officer@fremantle.com</w:t>
      </w:r>
    </w:p>
    <w:p w:rsidR="008820FE" w:rsidP="008820FE" w:rsidRDefault="008820FE" w14:paraId="291FA0CE" w14:textId="77777777">
      <w:pPr>
        <w:numPr>
          <w:ilvl w:val="0"/>
          <w:numId w:val="19"/>
        </w:numPr>
        <w:spacing w:after="160" w:line="278" w:lineRule="auto"/>
        <w:contextualSpacing/>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Australia Residents – your privacy rights under the Australian Privacy Act 1988 and the Australian Privacy Principles (</w:t>
      </w:r>
      <w:r w:rsidRPr="008820FE">
        <w:rPr>
          <w:rFonts w:eastAsiaTheme="minorHAnsi" w:cstheme="minorBidi"/>
          <w:kern w:val="2"/>
          <w:lang w:val="en-GB"/>
          <w14:ligatures w14:val="standardContextual"/>
        </w:rPr>
        <w:t>“</w:t>
      </w:r>
      <w:r w:rsidRPr="008820FE">
        <w:rPr>
          <w:rFonts w:eastAsiaTheme="minorHAnsi" w:cstheme="minorBidi"/>
          <w:b/>
          <w:bCs/>
          <w:kern w:val="2"/>
          <w:lang w:val="en-GB"/>
          <w14:ligatures w14:val="standardContextual"/>
        </w:rPr>
        <w:t>APPs</w:t>
      </w:r>
      <w:r w:rsidRPr="008820FE">
        <w:rPr>
          <w:rFonts w:eastAsiaTheme="minorHAnsi" w:cstheme="minorBidi"/>
          <w:kern w:val="2"/>
          <w:lang w:val="en-GB"/>
          <w14:ligatures w14:val="standardContextual"/>
        </w:rPr>
        <w:t>”).</w:t>
      </w:r>
    </w:p>
    <w:p w:rsidRPr="008820FE" w:rsidR="008820FE" w:rsidP="008820FE" w:rsidRDefault="008820FE" w14:paraId="10986589" w14:textId="77777777">
      <w:pPr>
        <w:spacing w:after="160" w:line="278" w:lineRule="auto"/>
        <w:ind w:left="720"/>
        <w:contextualSpacing/>
        <w:jc w:val="both"/>
        <w:rPr>
          <w:rFonts w:eastAsiaTheme="minorHAnsi" w:cstheme="minorBidi"/>
          <w:kern w:val="2"/>
          <w:lang w:val="en-GB"/>
          <w14:ligatures w14:val="standardContextual"/>
        </w:rPr>
      </w:pPr>
    </w:p>
    <w:p w:rsidRPr="008820FE" w:rsidR="008820FE" w:rsidP="008820FE" w:rsidRDefault="008820FE" w14:paraId="3D68C26C" w14:textId="77777777">
      <w:pPr>
        <w:spacing w:after="160" w:line="278" w:lineRule="auto"/>
        <w:jc w:val="both"/>
        <w:rPr>
          <w:rFonts w:eastAsiaTheme="minorHAnsi" w:cstheme="minorBidi"/>
          <w:kern w:val="2"/>
          <w:lang w:val="en-GB"/>
          <w14:ligatures w14:val="standardContextual"/>
        </w:rPr>
      </w:pPr>
      <w:r w:rsidRPr="008820FE">
        <w:rPr>
          <w:rFonts w:eastAsiaTheme="minorHAnsi" w:cstheme="minorBidi"/>
          <w:kern w:val="2"/>
          <w:lang w:val="en-GB"/>
          <w14:ligatures w14:val="standardContextual"/>
        </w:rPr>
        <w:t>Australian residents have the following rights:</w:t>
      </w:r>
    </w:p>
    <w:p w:rsidRPr="008820FE" w:rsidR="008820FE" w:rsidP="008820FE" w:rsidRDefault="008820FE" w14:paraId="76F77CED" w14:textId="77777777">
      <w:pPr>
        <w:numPr>
          <w:ilvl w:val="0"/>
          <w:numId w:val="29"/>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to Access</w:t>
      </w:r>
      <w:r w:rsidRPr="008820FE">
        <w:rPr>
          <w:rFonts w:eastAsiaTheme="minorHAnsi" w:cstheme="minorBidi"/>
          <w:kern w:val="2"/>
          <w:lang w:val="en-GB"/>
          <w14:ligatures w14:val="standardContextual"/>
        </w:rPr>
        <w:t>: Request access to personal information held about you.</w:t>
      </w:r>
    </w:p>
    <w:p w:rsidRPr="008820FE" w:rsidR="008820FE" w:rsidP="008820FE" w:rsidRDefault="008820FE" w14:paraId="0F808C2F" w14:textId="77777777">
      <w:pPr>
        <w:numPr>
          <w:ilvl w:val="0"/>
          <w:numId w:val="29"/>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to Correction</w:t>
      </w:r>
      <w:r w:rsidRPr="008820FE">
        <w:rPr>
          <w:rFonts w:eastAsiaTheme="minorHAnsi" w:cstheme="minorBidi"/>
          <w:kern w:val="2"/>
          <w:lang w:val="en-GB"/>
          <w14:ligatures w14:val="standardContextual"/>
        </w:rPr>
        <w:t>: Request correction of inaccurate, incomplete, or outdated personal information.</w:t>
      </w:r>
    </w:p>
    <w:p w:rsidRPr="008820FE" w:rsidR="008820FE" w:rsidP="008820FE" w:rsidRDefault="008820FE" w14:paraId="518E92C2" w14:textId="77777777">
      <w:pPr>
        <w:numPr>
          <w:ilvl w:val="0"/>
          <w:numId w:val="29"/>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to Anonymity and Pseudonymity</w:t>
      </w:r>
      <w:r w:rsidRPr="008820FE">
        <w:rPr>
          <w:rFonts w:eastAsiaTheme="minorHAnsi" w:cstheme="minorBidi"/>
          <w:kern w:val="2"/>
          <w:lang w:val="en-GB"/>
          <w14:ligatures w14:val="standardContextual"/>
        </w:rPr>
        <w:t>: Request to interact with us anonymously where possible.</w:t>
      </w:r>
    </w:p>
    <w:p w:rsidRPr="008820FE" w:rsidR="008820FE" w:rsidP="008820FE" w:rsidRDefault="008820FE" w14:paraId="65A0F258" w14:textId="77777777">
      <w:pPr>
        <w:numPr>
          <w:ilvl w:val="0"/>
          <w:numId w:val="29"/>
        </w:numPr>
        <w:spacing w:after="160" w:line="278" w:lineRule="auto"/>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Right to Lodge Complaints</w:t>
      </w:r>
      <w:r w:rsidRPr="008820FE">
        <w:rPr>
          <w:rFonts w:eastAsiaTheme="minorHAnsi" w:cstheme="minorBidi"/>
          <w:kern w:val="2"/>
          <w:lang w:val="en-GB"/>
          <w14:ligatures w14:val="standardContextual"/>
        </w:rPr>
        <w:t xml:space="preserve">: Lodge a complaint with the </w:t>
      </w:r>
      <w:r w:rsidRPr="008820FE">
        <w:rPr>
          <w:rFonts w:eastAsiaTheme="minorHAnsi" w:cstheme="minorBidi"/>
          <w:b/>
          <w:bCs/>
          <w:kern w:val="2"/>
          <w:lang w:val="en-GB"/>
          <w14:ligatures w14:val="standardContextual"/>
        </w:rPr>
        <w:t>Office of the Australian Information Commissioner (OAIC)</w:t>
      </w:r>
      <w:r w:rsidRPr="008820FE">
        <w:rPr>
          <w:rFonts w:eastAsiaTheme="minorHAnsi" w:cstheme="minorBidi"/>
          <w:kern w:val="2"/>
          <w:lang w:val="en-GB"/>
          <w14:ligatures w14:val="standardContextual"/>
        </w:rPr>
        <w:t xml:space="preserve"> if you believe we have mishandled your personal data.</w:t>
      </w:r>
    </w:p>
    <w:p w:rsidRPr="008820FE" w:rsidR="008820FE" w:rsidP="008820FE" w:rsidRDefault="008820FE" w14:paraId="7DEAD343" w14:textId="77777777">
      <w:pPr>
        <w:spacing w:after="160" w:line="278" w:lineRule="auto"/>
        <w:jc w:val="both"/>
        <w:rPr>
          <w:rFonts w:eastAsiaTheme="minorHAnsi" w:cstheme="minorBidi"/>
          <w:kern w:val="2"/>
          <w:lang w:val="en-GB"/>
          <w14:ligatures w14:val="standardContextual"/>
        </w:rPr>
      </w:pPr>
      <w:r w:rsidRPr="008820FE">
        <w:rPr>
          <w:rFonts w:eastAsiaTheme="minorHAnsi" w:cstheme="minorBidi"/>
          <w:kern w:val="2"/>
          <w:lang w:val="en-GB"/>
          <w14:ligatures w14:val="standardContextual"/>
        </w:rPr>
        <w:t xml:space="preserve">To exercise your Australian privacy rights, email </w:t>
      </w:r>
      <w:r w:rsidRPr="008820FE">
        <w:rPr>
          <w:rFonts w:eastAsiaTheme="minorHAnsi" w:cstheme="minorBidi"/>
          <w:b/>
          <w:bCs/>
          <w:kern w:val="2"/>
          <w:lang w:val="en-GB"/>
          <w14:ligatures w14:val="standardContextual"/>
        </w:rPr>
        <w:t>privacy.officer@fremantle.com</w:t>
      </w:r>
      <w:r w:rsidRPr="008820FE">
        <w:rPr>
          <w:rFonts w:eastAsiaTheme="minorHAnsi" w:cstheme="minorBidi"/>
          <w:kern w:val="2"/>
          <w:lang w:val="en-GB"/>
          <w14:ligatures w14:val="standardContextual"/>
        </w:rPr>
        <w:t>.</w:t>
      </w:r>
    </w:p>
    <w:p w:rsidRPr="008820FE" w:rsidR="008820FE" w:rsidP="008820FE" w:rsidRDefault="008820FE" w14:paraId="34B7B870" w14:textId="77777777">
      <w:pPr>
        <w:numPr>
          <w:ilvl w:val="0"/>
          <w:numId w:val="19"/>
        </w:numPr>
        <w:spacing w:after="160" w:line="278" w:lineRule="auto"/>
        <w:contextualSpacing/>
        <w:jc w:val="both"/>
        <w:rPr>
          <w:rFonts w:eastAsiaTheme="minorHAnsi" w:cstheme="minorBidi"/>
          <w:kern w:val="2"/>
          <w:lang w:val="en-GB"/>
          <w14:ligatures w14:val="standardContextual"/>
        </w:rPr>
      </w:pPr>
      <w:r w:rsidRPr="008820FE">
        <w:rPr>
          <w:rFonts w:eastAsiaTheme="minorHAnsi" w:cstheme="minorBidi"/>
          <w:b/>
          <w:bCs/>
          <w:kern w:val="2"/>
          <w:lang w:val="en-GB"/>
          <w14:ligatures w14:val="standardContextual"/>
        </w:rPr>
        <w:t>Updates to this Privacy Notice</w:t>
      </w:r>
    </w:p>
    <w:p w:rsidRPr="008820FE" w:rsidR="008820FE" w:rsidP="008820FE" w:rsidRDefault="008820FE" w14:paraId="072B6759" w14:textId="77777777">
      <w:pPr>
        <w:spacing w:after="160" w:line="278" w:lineRule="auto"/>
        <w:jc w:val="both"/>
        <w:rPr>
          <w:rFonts w:eastAsiaTheme="minorHAnsi" w:cstheme="minorBidi"/>
          <w:kern w:val="2"/>
          <w:lang w:val="en-GB"/>
          <w14:ligatures w14:val="standardContextual"/>
        </w:rPr>
      </w:pPr>
      <w:r w:rsidRPr="008820FE">
        <w:rPr>
          <w:rFonts w:eastAsiaTheme="minorHAnsi" w:cstheme="minorBidi"/>
          <w:kern w:val="2"/>
          <w:lang w:val="en-GB"/>
          <w14:ligatures w14:val="standardContextual"/>
        </w:rPr>
        <w:t>We may update this Privacy Notice periodically. Any significant changes will be communicated via email (if applicable) or through a notice on our website.</w:t>
      </w:r>
    </w:p>
    <w:p w:rsidRPr="008820FE" w:rsidR="008820FE" w:rsidP="008820FE" w:rsidRDefault="008820FE" w14:paraId="27287FD3" w14:textId="77777777">
      <w:pPr>
        <w:spacing w:after="160" w:line="278" w:lineRule="auto"/>
        <w:jc w:val="both"/>
        <w:rPr>
          <w:rFonts w:eastAsiaTheme="minorHAnsi" w:cstheme="minorBidi"/>
          <w:b/>
          <w:bCs/>
          <w:kern w:val="2"/>
          <w:lang w:val="en-GB"/>
          <w14:ligatures w14:val="standardContextual"/>
        </w:rPr>
      </w:pPr>
      <w:r w:rsidRPr="008820FE">
        <w:rPr>
          <w:rFonts w:eastAsiaTheme="minorHAnsi" w:cstheme="minorBidi"/>
          <w:b/>
          <w:bCs/>
          <w:kern w:val="2"/>
          <w:lang w:val="en-GB"/>
          <w14:ligatures w14:val="standardContextual"/>
        </w:rPr>
        <w:t>Contact Us</w:t>
      </w:r>
    </w:p>
    <w:p w:rsidRPr="008820FE" w:rsidR="008820FE" w:rsidP="008820FE" w:rsidRDefault="008820FE" w14:paraId="57BC87DC" w14:textId="77777777">
      <w:pPr>
        <w:spacing w:after="160" w:line="278" w:lineRule="auto"/>
        <w:jc w:val="both"/>
        <w:rPr>
          <w:rFonts w:eastAsiaTheme="minorHAnsi" w:cstheme="minorBidi"/>
          <w:kern w:val="2"/>
          <w:lang w:val="en-GB"/>
          <w14:ligatures w14:val="standardContextual"/>
        </w:rPr>
      </w:pPr>
      <w:r w:rsidRPr="008820FE">
        <w:rPr>
          <w:rFonts w:eastAsiaTheme="minorHAnsi" w:cstheme="minorBidi"/>
          <w:kern w:val="2"/>
          <w:lang w:val="en-GB"/>
          <w14:ligatures w14:val="standardContextual"/>
        </w:rPr>
        <w:t>If you have any questions about this Privacy Notice, please contact:</w:t>
      </w:r>
    </w:p>
    <w:p w:rsidRPr="008820FE" w:rsidR="008820FE" w:rsidP="008820FE" w:rsidRDefault="008820FE" w14:paraId="76B4E453" w14:textId="77777777">
      <w:pPr>
        <w:spacing w:after="160" w:line="278" w:lineRule="auto"/>
        <w:jc w:val="both"/>
        <w:rPr>
          <w:rFonts w:eastAsiaTheme="minorHAnsi" w:cstheme="minorBidi"/>
          <w:kern w:val="2"/>
          <w:lang w:val="en-GB"/>
          <w14:ligatures w14:val="standardContextual"/>
        </w:rPr>
      </w:pPr>
      <w:r w:rsidRPr="008820FE">
        <w:rPr>
          <w:rFonts w:eastAsiaTheme="minorHAnsi" w:cstheme="minorBidi"/>
          <w:kern w:val="2"/>
          <w:lang w:val="en-GB"/>
          <w14:ligatures w14:val="standardContextual"/>
        </w:rPr>
        <w:t>Email: privacy.officer@fremantle.com</w:t>
      </w:r>
    </w:p>
    <w:p w:rsidRPr="009E2CD3" w:rsidR="00001DDC" w:rsidP="00AC7F97" w:rsidRDefault="00001DDC" w14:paraId="3544BDE3" w14:textId="78BE324F">
      <w:pPr>
        <w:jc w:val="both"/>
        <w:rPr>
          <w:rFonts w:cs="Arial"/>
          <w:szCs w:val="20"/>
        </w:rPr>
      </w:pPr>
    </w:p>
    <w:sectPr w:rsidRPr="009E2CD3" w:rsidR="00001DDC">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5A56" w:rsidP="00311893" w:rsidRDefault="00295A56" w14:paraId="1E6A69B8" w14:textId="77777777">
      <w:r>
        <w:separator/>
      </w:r>
    </w:p>
  </w:endnote>
  <w:endnote w:type="continuationSeparator" w:id="0">
    <w:p w:rsidR="00295A56" w:rsidP="00311893" w:rsidRDefault="00295A56" w14:paraId="3E3257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5A56" w:rsidP="00311893" w:rsidRDefault="00295A56" w14:paraId="5CD551A3" w14:textId="77777777">
      <w:r>
        <w:separator/>
      </w:r>
    </w:p>
  </w:footnote>
  <w:footnote w:type="continuationSeparator" w:id="0">
    <w:p w:rsidR="00295A56" w:rsidP="00311893" w:rsidRDefault="00295A56" w14:paraId="51C053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64CA" w:rsidP="002C1EC8" w:rsidRDefault="002C1EC8" w14:paraId="4833CE14" w14:textId="1C3C1AEB">
    <w:pPr>
      <w:pStyle w:val="Header"/>
      <w:jc w:val="center"/>
    </w:pPr>
    <w:r w:rsidRPr="00E94445">
      <w:rPr>
        <w:noProof/>
      </w:rPr>
      <w:drawing>
        <wp:inline distT="0" distB="0" distL="0" distR="0" wp14:anchorId="48E17BDE" wp14:editId="0D59CCF7">
          <wp:extent cx="3615961" cy="600502"/>
          <wp:effectExtent l="0" t="0" r="3810" b="9525"/>
          <wp:docPr id="1752975351"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7120" name="Picture 2"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9775" cy="61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0D76"/>
    <w:multiLevelType w:val="multilevel"/>
    <w:tmpl w:val="14C09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152376"/>
    <w:multiLevelType w:val="multilevel"/>
    <w:tmpl w:val="1A7A0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5E710C"/>
    <w:multiLevelType w:val="hybridMultilevel"/>
    <w:tmpl w:val="C59A2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D84E73"/>
    <w:multiLevelType w:val="hybridMultilevel"/>
    <w:tmpl w:val="942623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8A14EB"/>
    <w:multiLevelType w:val="hybridMultilevel"/>
    <w:tmpl w:val="58AE5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CA326C"/>
    <w:multiLevelType w:val="multilevel"/>
    <w:tmpl w:val="36EA3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51152B8"/>
    <w:multiLevelType w:val="multilevel"/>
    <w:tmpl w:val="4894D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52A268B"/>
    <w:multiLevelType w:val="hybridMultilevel"/>
    <w:tmpl w:val="F560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A329E"/>
    <w:multiLevelType w:val="multilevel"/>
    <w:tmpl w:val="44EC7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A09111F"/>
    <w:multiLevelType w:val="hybridMultilevel"/>
    <w:tmpl w:val="C15681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937C5"/>
    <w:multiLevelType w:val="multilevel"/>
    <w:tmpl w:val="90A0D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6302C67"/>
    <w:multiLevelType w:val="hybridMultilevel"/>
    <w:tmpl w:val="79D44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B2F36"/>
    <w:multiLevelType w:val="multilevel"/>
    <w:tmpl w:val="E2C2B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F1D357F"/>
    <w:multiLevelType w:val="hybridMultilevel"/>
    <w:tmpl w:val="F3BAE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5A09EB"/>
    <w:multiLevelType w:val="hybridMultilevel"/>
    <w:tmpl w:val="3F9CA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584C6B"/>
    <w:multiLevelType w:val="multilevel"/>
    <w:tmpl w:val="C3DEA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57B5EDA"/>
    <w:multiLevelType w:val="hybridMultilevel"/>
    <w:tmpl w:val="99144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C9533C"/>
    <w:multiLevelType w:val="multilevel"/>
    <w:tmpl w:val="FB28F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A6302B5"/>
    <w:multiLevelType w:val="multilevel"/>
    <w:tmpl w:val="1332C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12F45F6"/>
    <w:multiLevelType w:val="hybridMultilevel"/>
    <w:tmpl w:val="54E4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D82162"/>
    <w:multiLevelType w:val="multilevel"/>
    <w:tmpl w:val="D3526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37F0376"/>
    <w:multiLevelType w:val="hybridMultilevel"/>
    <w:tmpl w:val="C75CA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29072BB"/>
    <w:multiLevelType w:val="multilevel"/>
    <w:tmpl w:val="7556E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5744CAC"/>
    <w:multiLevelType w:val="hybridMultilevel"/>
    <w:tmpl w:val="80D25E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D02687"/>
    <w:multiLevelType w:val="hybridMultilevel"/>
    <w:tmpl w:val="53647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41678A"/>
    <w:multiLevelType w:val="hybridMultilevel"/>
    <w:tmpl w:val="C706B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6D0260"/>
    <w:multiLevelType w:val="multilevel"/>
    <w:tmpl w:val="AB0EB2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D00380C"/>
    <w:multiLevelType w:val="hybridMultilevel"/>
    <w:tmpl w:val="0338E270"/>
    <w:lvl w:ilvl="0" w:tplc="5F84E52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A24DA2"/>
    <w:multiLevelType w:val="multilevel"/>
    <w:tmpl w:val="FC8C53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92352403">
    <w:abstractNumId w:val="25"/>
  </w:num>
  <w:num w:numId="2" w16cid:durableId="1524399513">
    <w:abstractNumId w:val="24"/>
  </w:num>
  <w:num w:numId="3" w16cid:durableId="14119703">
    <w:abstractNumId w:val="7"/>
  </w:num>
  <w:num w:numId="4" w16cid:durableId="126818572">
    <w:abstractNumId w:val="4"/>
  </w:num>
  <w:num w:numId="5" w16cid:durableId="657540502">
    <w:abstractNumId w:val="23"/>
  </w:num>
  <w:num w:numId="6" w16cid:durableId="1441754704">
    <w:abstractNumId w:val="19"/>
  </w:num>
  <w:num w:numId="7" w16cid:durableId="1476407937">
    <w:abstractNumId w:val="14"/>
  </w:num>
  <w:num w:numId="8" w16cid:durableId="546181077">
    <w:abstractNumId w:val="2"/>
  </w:num>
  <w:num w:numId="9" w16cid:durableId="10111421">
    <w:abstractNumId w:val="3"/>
  </w:num>
  <w:num w:numId="10" w16cid:durableId="418454587">
    <w:abstractNumId w:val="13"/>
  </w:num>
  <w:num w:numId="11" w16cid:durableId="514462818">
    <w:abstractNumId w:val="16"/>
  </w:num>
  <w:num w:numId="12" w16cid:durableId="1772164192">
    <w:abstractNumId w:val="1"/>
  </w:num>
  <w:num w:numId="13" w16cid:durableId="2090693822">
    <w:abstractNumId w:val="9"/>
  </w:num>
  <w:num w:numId="14" w16cid:durableId="688946943">
    <w:abstractNumId w:val="21"/>
  </w:num>
  <w:num w:numId="15" w16cid:durableId="558982693">
    <w:abstractNumId w:val="27"/>
  </w:num>
  <w:num w:numId="16" w16cid:durableId="1494880089">
    <w:abstractNumId w:val="0"/>
  </w:num>
  <w:num w:numId="17" w16cid:durableId="779761313">
    <w:abstractNumId w:val="28"/>
  </w:num>
  <w:num w:numId="18" w16cid:durableId="1865166731">
    <w:abstractNumId w:val="8"/>
  </w:num>
  <w:num w:numId="19" w16cid:durableId="870915845">
    <w:abstractNumId w:val="11"/>
  </w:num>
  <w:num w:numId="20" w16cid:durableId="1508522643">
    <w:abstractNumId w:val="5"/>
  </w:num>
  <w:num w:numId="21" w16cid:durableId="57017954">
    <w:abstractNumId w:val="10"/>
  </w:num>
  <w:num w:numId="22" w16cid:durableId="1437680164">
    <w:abstractNumId w:val="12"/>
  </w:num>
  <w:num w:numId="23" w16cid:durableId="422454235">
    <w:abstractNumId w:val="20"/>
  </w:num>
  <w:num w:numId="24" w16cid:durableId="1066496389">
    <w:abstractNumId w:val="15"/>
  </w:num>
  <w:num w:numId="25" w16cid:durableId="2107188785">
    <w:abstractNumId w:val="22"/>
  </w:num>
  <w:num w:numId="26" w16cid:durableId="797459264">
    <w:abstractNumId w:val="17"/>
  </w:num>
  <w:num w:numId="27" w16cid:durableId="1698847956">
    <w:abstractNumId w:val="26"/>
  </w:num>
  <w:num w:numId="28" w16cid:durableId="159348942">
    <w:abstractNumId w:val="6"/>
  </w:num>
  <w:num w:numId="29" w16cid:durableId="169877700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66"/>
    <w:rsid w:val="00001DDC"/>
    <w:rsid w:val="00071786"/>
    <w:rsid w:val="0009156F"/>
    <w:rsid w:val="001B1118"/>
    <w:rsid w:val="001C02FB"/>
    <w:rsid w:val="00237AB5"/>
    <w:rsid w:val="00254C3E"/>
    <w:rsid w:val="00262966"/>
    <w:rsid w:val="00295A56"/>
    <w:rsid w:val="002C1EC8"/>
    <w:rsid w:val="002F21E5"/>
    <w:rsid w:val="00311893"/>
    <w:rsid w:val="00317D20"/>
    <w:rsid w:val="004048BB"/>
    <w:rsid w:val="00491737"/>
    <w:rsid w:val="004E41EA"/>
    <w:rsid w:val="004E721E"/>
    <w:rsid w:val="004F4082"/>
    <w:rsid w:val="00515F1A"/>
    <w:rsid w:val="005770DA"/>
    <w:rsid w:val="005B6D7C"/>
    <w:rsid w:val="005F7110"/>
    <w:rsid w:val="006E5930"/>
    <w:rsid w:val="006F29C3"/>
    <w:rsid w:val="00702093"/>
    <w:rsid w:val="007A760E"/>
    <w:rsid w:val="008264A6"/>
    <w:rsid w:val="008820FE"/>
    <w:rsid w:val="00AA6407"/>
    <w:rsid w:val="00AC7F97"/>
    <w:rsid w:val="00B04522"/>
    <w:rsid w:val="00B83E85"/>
    <w:rsid w:val="00C63959"/>
    <w:rsid w:val="00CC64C3"/>
    <w:rsid w:val="00CF0A63"/>
    <w:rsid w:val="00D17B15"/>
    <w:rsid w:val="00D439F7"/>
    <w:rsid w:val="00E164CA"/>
    <w:rsid w:val="00E532D0"/>
    <w:rsid w:val="00ED34D4"/>
    <w:rsid w:val="00F52FFE"/>
    <w:rsid w:val="00FB1CFB"/>
    <w:rsid w:val="4CBCD485"/>
    <w:rsid w:val="5311D8DC"/>
    <w:rsid w:val="5E3F3AAF"/>
    <w:rsid w:val="7CA4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E4D7"/>
  <w15:chartTrackingRefBased/>
  <w15:docId w15:val="{B06C73D5-6E78-4159-B866-759910A25A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29C3"/>
    <w:pPr>
      <w:spacing w:after="0" w:line="240" w:lineRule="auto"/>
    </w:pPr>
    <w:rPr>
      <w:rFonts w:ascii="Arial" w:hAnsi="Arial" w:eastAsia="Times New Roman" w:cs="Times New Roman"/>
      <w:kern w:val="0"/>
      <w:sz w:val="20"/>
      <w:lang w:val="en-US"/>
      <w14:ligatures w14:val="none"/>
    </w:rPr>
  </w:style>
  <w:style w:type="paragraph" w:styleId="Heading1">
    <w:name w:val="heading 1"/>
    <w:basedOn w:val="Normal"/>
    <w:next w:val="Normal"/>
    <w:link w:val="Heading1Char"/>
    <w:qFormat/>
    <w:rsid w:val="00D17B15"/>
    <w:pPr>
      <w:keepNext/>
      <w:keepLines/>
      <w:spacing w:before="360" w:after="80"/>
      <w:outlineLvl w:val="0"/>
    </w:pPr>
    <w:rPr>
      <w:rFonts w:eastAsiaTheme="majorEastAsia" w:cstheme="majorBidi"/>
      <w:b/>
      <w:szCs w:val="40"/>
    </w:rPr>
  </w:style>
  <w:style w:type="paragraph" w:styleId="Heading2">
    <w:name w:val="heading 2"/>
    <w:basedOn w:val="Normal"/>
    <w:next w:val="Normal"/>
    <w:link w:val="Heading2Char"/>
    <w:unhideWhenUsed/>
    <w:qFormat/>
    <w:rsid w:val="00D17B15"/>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262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9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9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9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96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17B15"/>
    <w:rPr>
      <w:rFonts w:ascii="Arial" w:hAnsi="Arial" w:eastAsiaTheme="majorEastAsia" w:cstheme="majorBidi"/>
      <w:b/>
      <w:kern w:val="0"/>
      <w:sz w:val="20"/>
      <w:szCs w:val="40"/>
      <w:lang w:val="en-US"/>
      <w14:ligatures w14:val="none"/>
    </w:rPr>
  </w:style>
  <w:style w:type="character" w:styleId="Heading2Char" w:customStyle="1">
    <w:name w:val="Heading 2 Char"/>
    <w:basedOn w:val="DefaultParagraphFont"/>
    <w:link w:val="Heading2"/>
    <w:rsid w:val="00D17B15"/>
    <w:rPr>
      <w:rFonts w:ascii="Arial" w:hAnsi="Arial" w:eastAsiaTheme="majorEastAsia" w:cstheme="majorBidi"/>
      <w:b/>
      <w:kern w:val="0"/>
      <w:sz w:val="20"/>
      <w:szCs w:val="32"/>
      <w:lang w:val="en-US"/>
      <w14:ligatures w14:val="none"/>
    </w:rPr>
  </w:style>
  <w:style w:type="character" w:styleId="Heading3Char" w:customStyle="1">
    <w:name w:val="Heading 3 Char"/>
    <w:basedOn w:val="DefaultParagraphFont"/>
    <w:link w:val="Heading3"/>
    <w:uiPriority w:val="9"/>
    <w:semiHidden/>
    <w:rsid w:val="0026296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296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296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296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296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296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2966"/>
    <w:rPr>
      <w:rFonts w:eastAsiaTheme="majorEastAsia" w:cstheme="majorBidi"/>
      <w:color w:val="272727" w:themeColor="text1" w:themeTint="D8"/>
    </w:rPr>
  </w:style>
  <w:style w:type="paragraph" w:styleId="Title">
    <w:name w:val="Title"/>
    <w:basedOn w:val="Normal"/>
    <w:next w:val="Normal"/>
    <w:link w:val="TitleChar"/>
    <w:uiPriority w:val="10"/>
    <w:qFormat/>
    <w:rsid w:val="0026296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296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6296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62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966"/>
    <w:pPr>
      <w:spacing w:before="160"/>
      <w:jc w:val="center"/>
    </w:pPr>
    <w:rPr>
      <w:i/>
      <w:iCs/>
      <w:color w:val="404040" w:themeColor="text1" w:themeTint="BF"/>
    </w:rPr>
  </w:style>
  <w:style w:type="character" w:styleId="QuoteChar" w:customStyle="1">
    <w:name w:val="Quote Char"/>
    <w:basedOn w:val="DefaultParagraphFont"/>
    <w:link w:val="Quote"/>
    <w:uiPriority w:val="29"/>
    <w:rsid w:val="00262966"/>
    <w:rPr>
      <w:i/>
      <w:iCs/>
      <w:color w:val="404040" w:themeColor="text1" w:themeTint="BF"/>
    </w:rPr>
  </w:style>
  <w:style w:type="paragraph" w:styleId="ListParagraph">
    <w:name w:val="List Paragraph"/>
    <w:basedOn w:val="Normal"/>
    <w:uiPriority w:val="34"/>
    <w:qFormat/>
    <w:rsid w:val="00262966"/>
    <w:pPr>
      <w:ind w:left="720"/>
      <w:contextualSpacing/>
    </w:pPr>
  </w:style>
  <w:style w:type="character" w:styleId="IntenseEmphasis">
    <w:name w:val="Intense Emphasis"/>
    <w:basedOn w:val="DefaultParagraphFont"/>
    <w:uiPriority w:val="21"/>
    <w:qFormat/>
    <w:rsid w:val="00262966"/>
    <w:rPr>
      <w:i/>
      <w:iCs/>
      <w:color w:val="0F4761" w:themeColor="accent1" w:themeShade="BF"/>
    </w:rPr>
  </w:style>
  <w:style w:type="paragraph" w:styleId="IntenseQuote">
    <w:name w:val="Intense Quote"/>
    <w:basedOn w:val="Normal"/>
    <w:next w:val="Normal"/>
    <w:link w:val="IntenseQuoteChar"/>
    <w:uiPriority w:val="30"/>
    <w:qFormat/>
    <w:rsid w:val="002629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2966"/>
    <w:rPr>
      <w:i/>
      <w:iCs/>
      <w:color w:val="0F4761" w:themeColor="accent1" w:themeShade="BF"/>
    </w:rPr>
  </w:style>
  <w:style w:type="character" w:styleId="IntenseReference">
    <w:name w:val="Intense Reference"/>
    <w:basedOn w:val="DefaultParagraphFont"/>
    <w:uiPriority w:val="32"/>
    <w:qFormat/>
    <w:rsid w:val="00262966"/>
    <w:rPr>
      <w:b/>
      <w:bCs/>
      <w:smallCaps/>
      <w:color w:val="0F4761" w:themeColor="accent1" w:themeShade="BF"/>
      <w:spacing w:val="5"/>
    </w:rPr>
  </w:style>
  <w:style w:type="paragraph" w:styleId="Header">
    <w:name w:val="header"/>
    <w:basedOn w:val="Normal"/>
    <w:link w:val="HeaderChar"/>
    <w:uiPriority w:val="99"/>
    <w:unhideWhenUsed/>
    <w:rsid w:val="00311893"/>
    <w:pPr>
      <w:tabs>
        <w:tab w:val="center" w:pos="4513"/>
        <w:tab w:val="right" w:pos="9026"/>
      </w:tabs>
    </w:pPr>
  </w:style>
  <w:style w:type="character" w:styleId="HeaderChar" w:customStyle="1">
    <w:name w:val="Header Char"/>
    <w:basedOn w:val="DefaultParagraphFont"/>
    <w:link w:val="Header"/>
    <w:uiPriority w:val="99"/>
    <w:rsid w:val="00311893"/>
    <w:rPr>
      <w:rFonts w:ascii="Arial" w:hAnsi="Arial" w:eastAsia="Times New Roman" w:cs="Times New Roman"/>
      <w:kern w:val="0"/>
      <w:sz w:val="20"/>
      <w:lang w:val="en-US"/>
      <w14:ligatures w14:val="none"/>
    </w:rPr>
  </w:style>
  <w:style w:type="paragraph" w:styleId="Footer">
    <w:name w:val="footer"/>
    <w:basedOn w:val="Normal"/>
    <w:link w:val="FooterChar"/>
    <w:uiPriority w:val="99"/>
    <w:unhideWhenUsed/>
    <w:rsid w:val="00311893"/>
    <w:pPr>
      <w:tabs>
        <w:tab w:val="center" w:pos="4513"/>
        <w:tab w:val="right" w:pos="9026"/>
      </w:tabs>
    </w:pPr>
  </w:style>
  <w:style w:type="character" w:styleId="FooterChar" w:customStyle="1">
    <w:name w:val="Footer Char"/>
    <w:basedOn w:val="DefaultParagraphFont"/>
    <w:link w:val="Footer"/>
    <w:uiPriority w:val="99"/>
    <w:rsid w:val="00311893"/>
    <w:rPr>
      <w:rFonts w:ascii="Arial" w:hAnsi="Arial" w:eastAsia="Times New Roman" w:cs="Times New Roman"/>
      <w:kern w:val="0"/>
      <w:sz w:val="20"/>
      <w:lang w:val="en-US"/>
      <w14:ligatures w14:val="none"/>
    </w:rPr>
  </w:style>
  <w:style w:type="table" w:styleId="TableGrid">
    <w:name w:val="Table Grid"/>
    <w:basedOn w:val="TableNormal"/>
    <w:uiPriority w:val="39"/>
    <w:rsid w:val="004048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E41EA"/>
    <w:rPr>
      <w:color w:val="467886" w:themeColor="hyperlink"/>
      <w:u w:val="single"/>
    </w:rPr>
  </w:style>
  <w:style w:type="character" w:styleId="UnresolvedMention">
    <w:name w:val="Unresolved Mention"/>
    <w:basedOn w:val="DefaultParagraphFont"/>
    <w:uiPriority w:val="99"/>
    <w:semiHidden/>
    <w:unhideWhenUsed/>
    <w:rsid w:val="004E4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c.europa.eu/newsroom/article29/item-detail.cfm?item_id=612080"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ico.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ivacy.officer@fremantle.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92424C39AD2438AD14093270B95C3" ma:contentTypeVersion="13" ma:contentTypeDescription="Create a new document." ma:contentTypeScope="" ma:versionID="c58e23d10992d9748d551b6f54dd1486">
  <xsd:schema xmlns:xsd="http://www.w3.org/2001/XMLSchema" xmlns:xs="http://www.w3.org/2001/XMLSchema" xmlns:p="http://schemas.microsoft.com/office/2006/metadata/properties" xmlns:ns2="6ef63031-82f0-40f2-b32d-a638f0cd65da" xmlns:ns3="f24744ad-04d4-46b9-a06b-989821fe156d" targetNamespace="http://schemas.microsoft.com/office/2006/metadata/properties" ma:root="true" ma:fieldsID="b15b780d7b2f46c602187fdf48fd5ee1" ns2:_="" ns3:_="">
    <xsd:import namespace="6ef63031-82f0-40f2-b32d-a638f0cd65da"/>
    <xsd:import namespace="f24744ad-04d4-46b9-a06b-989821fe15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63031-82f0-40f2-b32d-a638f0cd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744ad-04d4-46b9-a06b-989821fe15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9F30F-B313-457D-9BB5-654876945DDE}">
  <ds:schemaRefs>
    <ds:schemaRef ds:uri="http://schemas.microsoft.com/office/2006/metadata/properties"/>
    <ds:schemaRef ds:uri="http://schemas.microsoft.com/office/infopath/2007/PartnerControls"/>
    <ds:schemaRef ds:uri="d12fbb56-2fbd-4f36-8ae9-dacac5c940ae"/>
    <ds:schemaRef ds:uri="1f482fc3-fa95-4e97-a2f6-b827d5c4361a"/>
  </ds:schemaRefs>
</ds:datastoreItem>
</file>

<file path=customXml/itemProps2.xml><?xml version="1.0" encoding="utf-8"?>
<ds:datastoreItem xmlns:ds="http://schemas.openxmlformats.org/officeDocument/2006/customXml" ds:itemID="{8046F025-CCB1-4A48-94B4-537155F7AE5C}"/>
</file>

<file path=customXml/itemProps3.xml><?xml version="1.0" encoding="utf-8"?>
<ds:datastoreItem xmlns:ds="http://schemas.openxmlformats.org/officeDocument/2006/customXml" ds:itemID="{F71C8513-EC50-4449-B58F-73B51A006C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Erzurumlu</dc:creator>
  <cp:keywords/>
  <dc:description/>
  <cp:lastModifiedBy>Hulya Erzurumlu</cp:lastModifiedBy>
  <cp:revision>19</cp:revision>
  <dcterms:created xsi:type="dcterms:W3CDTF">2024-06-19T14:38:00Z</dcterms:created>
  <dcterms:modified xsi:type="dcterms:W3CDTF">2025-06-19T10:53:59Z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0x01010001292424C39AD2438AD14093270B95C3</vt:lpwstr>
  </property>
  <property fmtid="{D5CDD505-2E9C-101B-9397-08002B2CF9AE}" pid="3" name="MediaServiceImageTags">
    <vt:lpwstr/>
  </property>
</Properties>
</file>