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97" w:rsidRDefault="001E3B97" w:rsidP="001E3B97">
      <w:pPr>
        <w:spacing w:line="276" w:lineRule="auto"/>
        <w:jc w:val="center"/>
        <w:rPr>
          <w:b/>
          <w:sz w:val="24"/>
          <w:szCs w:val="24"/>
        </w:rPr>
      </w:pPr>
    </w:p>
    <w:p w:rsidR="001E3B97" w:rsidRPr="001E3B97" w:rsidRDefault="001E3B97" w:rsidP="001E3B97">
      <w:pPr>
        <w:spacing w:line="276" w:lineRule="auto"/>
        <w:jc w:val="center"/>
        <w:rPr>
          <w:sz w:val="24"/>
          <w:szCs w:val="24"/>
        </w:rPr>
      </w:pPr>
      <w:r>
        <w:rPr>
          <w:b/>
          <w:sz w:val="24"/>
          <w:szCs w:val="24"/>
        </w:rPr>
        <w:t xml:space="preserve">ACTIVITY: </w:t>
      </w:r>
      <w:bookmarkStart w:id="0" w:name="_GoBack"/>
      <w:r>
        <w:rPr>
          <w:b/>
          <w:sz w:val="24"/>
          <w:szCs w:val="24"/>
        </w:rPr>
        <w:t>Communicating with scientists – interview techniques and protocols</w:t>
      </w:r>
      <w:bookmarkEnd w:id="0"/>
    </w:p>
    <w:p w:rsidR="001E3B97" w:rsidRDefault="001E3B97" w:rsidP="001E3B97"/>
    <w:p w:rsidR="001E3B97" w:rsidRDefault="001E3B97" w:rsidP="001E3B97">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rsidR="001E3B97" w:rsidRDefault="001E3B97" w:rsidP="001E3B97">
      <w:pPr>
        <w:pBdr>
          <w:top w:val="single" w:sz="4" w:space="1" w:color="000000"/>
          <w:left w:val="single" w:sz="4" w:space="1" w:color="000000"/>
          <w:bottom w:val="single" w:sz="4" w:space="1" w:color="000000"/>
          <w:right w:val="single" w:sz="4" w:space="1" w:color="000000"/>
        </w:pBdr>
      </w:pPr>
    </w:p>
    <w:p w:rsidR="001E3B97" w:rsidRDefault="001E3B97" w:rsidP="001E3B97">
      <w:pPr>
        <w:pBdr>
          <w:top w:val="single" w:sz="4" w:space="1" w:color="000000"/>
          <w:left w:val="single" w:sz="4" w:space="1" w:color="000000"/>
          <w:bottom w:val="single" w:sz="4" w:space="1" w:color="000000"/>
          <w:right w:val="single" w:sz="4" w:space="1" w:color="000000"/>
        </w:pBdr>
      </w:pPr>
      <w:r>
        <w:t>In this activity, students work through a framework to develop and organise questions and interview protocols prior to interviewing or communicating with a science expert.</w:t>
      </w:r>
    </w:p>
    <w:p w:rsidR="001E3B97" w:rsidRDefault="001E3B97" w:rsidP="001E3B97">
      <w:pPr>
        <w:pBdr>
          <w:top w:val="single" w:sz="4" w:space="1" w:color="000000"/>
          <w:left w:val="single" w:sz="4" w:space="1" w:color="000000"/>
          <w:bottom w:val="single" w:sz="4" w:space="1" w:color="000000"/>
          <w:right w:val="single" w:sz="4" w:space="1" w:color="000000"/>
        </w:pBdr>
        <w:rPr>
          <w:b/>
        </w:rPr>
      </w:pPr>
    </w:p>
    <w:p w:rsidR="001E3B97" w:rsidRDefault="001E3B97" w:rsidP="001E3B97">
      <w:pPr>
        <w:pBdr>
          <w:top w:val="single" w:sz="4" w:space="1" w:color="000000"/>
          <w:left w:val="single" w:sz="4" w:space="1" w:color="000000"/>
          <w:bottom w:val="single" w:sz="4" w:space="1" w:color="000000"/>
          <w:right w:val="single" w:sz="4" w:space="1" w:color="000000"/>
        </w:pBdr>
      </w:pPr>
      <w:r>
        <w:t>By the end of this activity, students should be able to:</w:t>
      </w:r>
    </w:p>
    <w:p w:rsidR="001E3B97" w:rsidRDefault="001E3B97" w:rsidP="001E3B97">
      <w:pPr>
        <w:numPr>
          <w:ilvl w:val="0"/>
          <w:numId w:val="1"/>
        </w:numPr>
        <w:pBdr>
          <w:top w:val="single" w:sz="4" w:space="1" w:color="000000"/>
          <w:left w:val="single" w:sz="4" w:space="1" w:color="000000"/>
          <w:bottom w:val="single" w:sz="4" w:space="1" w:color="000000"/>
          <w:right w:val="single" w:sz="4" w:space="1" w:color="000000"/>
        </w:pBdr>
      </w:pPr>
      <w:r>
        <w:t>identify some of the science concepts and questions they want to discuss with an expert</w:t>
      </w:r>
    </w:p>
    <w:p w:rsidR="001E3B97" w:rsidRDefault="001E3B97" w:rsidP="001E3B97">
      <w:pPr>
        <w:numPr>
          <w:ilvl w:val="0"/>
          <w:numId w:val="1"/>
        </w:numPr>
        <w:pBdr>
          <w:top w:val="single" w:sz="4" w:space="1" w:color="000000"/>
          <w:left w:val="single" w:sz="4" w:space="1" w:color="000000"/>
          <w:bottom w:val="single" w:sz="4" w:space="1" w:color="000000"/>
          <w:right w:val="single" w:sz="4" w:space="1" w:color="000000"/>
        </w:pBdr>
      </w:pPr>
      <w:r>
        <w:t>prioritise and group interview questions</w:t>
      </w:r>
    </w:p>
    <w:p w:rsidR="001E3B97" w:rsidRDefault="001E3B97" w:rsidP="001E3B97">
      <w:pPr>
        <w:numPr>
          <w:ilvl w:val="0"/>
          <w:numId w:val="1"/>
        </w:numPr>
        <w:pBdr>
          <w:top w:val="single" w:sz="4" w:space="1" w:color="000000"/>
          <w:left w:val="single" w:sz="4" w:space="1" w:color="000000"/>
          <w:bottom w:val="single" w:sz="4" w:space="1" w:color="000000"/>
          <w:right w:val="single" w:sz="4" w:space="1" w:color="000000"/>
        </w:pBdr>
      </w:pPr>
      <w:r>
        <w:t>identify the difference between open-ended and closed questions</w:t>
      </w:r>
    </w:p>
    <w:p w:rsidR="001E3B97" w:rsidRDefault="001E3B97" w:rsidP="001E3B97">
      <w:pPr>
        <w:numPr>
          <w:ilvl w:val="0"/>
          <w:numId w:val="1"/>
        </w:numPr>
        <w:pBdr>
          <w:top w:val="single" w:sz="4" w:space="1" w:color="000000"/>
          <w:left w:val="single" w:sz="4" w:space="1" w:color="000000"/>
          <w:bottom w:val="single" w:sz="4" w:space="1" w:color="000000"/>
          <w:right w:val="single" w:sz="4" w:space="1" w:color="000000"/>
        </w:pBdr>
      </w:pPr>
      <w:r>
        <w:t>discuss how working through an interview framework helps to develop their questioning skills</w:t>
      </w:r>
    </w:p>
    <w:p w:rsidR="001E3B97" w:rsidRDefault="001E3B97" w:rsidP="001E3B97">
      <w:pPr>
        <w:numPr>
          <w:ilvl w:val="0"/>
          <w:numId w:val="1"/>
        </w:numPr>
        <w:pBdr>
          <w:top w:val="single" w:sz="4" w:space="1" w:color="000000"/>
          <w:left w:val="single" w:sz="4" w:space="1" w:color="000000"/>
          <w:bottom w:val="single" w:sz="4" w:space="1" w:color="000000"/>
          <w:right w:val="single" w:sz="4" w:space="1" w:color="000000"/>
        </w:pBdr>
      </w:pPr>
      <w:proofErr w:type="gramStart"/>
      <w:r>
        <w:t>establish</w:t>
      </w:r>
      <w:proofErr w:type="gramEnd"/>
      <w:r>
        <w:t xml:space="preserve"> shared etiquette protocols to make the best use of the expert’s time/interview.</w:t>
      </w:r>
    </w:p>
    <w:p w:rsidR="001E3B97" w:rsidRDefault="001E3B97" w:rsidP="001E3B97"/>
    <w:p w:rsidR="001E3B97" w:rsidRDefault="001E3B97" w:rsidP="001E3B97">
      <w:pPr>
        <w:rPr>
          <w:color w:val="0563C1"/>
          <w:u w:val="single"/>
        </w:rPr>
      </w:pPr>
      <w:hyperlink w:anchor="30j0zll">
        <w:r>
          <w:rPr>
            <w:color w:val="0563C1"/>
            <w:u w:val="single"/>
          </w:rPr>
          <w:t>Background information for teachers</w:t>
        </w:r>
      </w:hyperlink>
    </w:p>
    <w:p w:rsidR="001E3B97" w:rsidRDefault="001E3B97" w:rsidP="001E3B97">
      <w:pPr>
        <w:rPr>
          <w:color w:val="0563C1"/>
          <w:u w:val="single"/>
        </w:rPr>
      </w:pPr>
      <w:hyperlink w:anchor="1fob9te">
        <w:r>
          <w:rPr>
            <w:color w:val="0563C1"/>
            <w:u w:val="single"/>
          </w:rPr>
          <w:t>Teacher instructions</w:t>
        </w:r>
      </w:hyperlink>
    </w:p>
    <w:p w:rsidR="001E3B97" w:rsidRDefault="001E3B97" w:rsidP="001E3B97">
      <w:pPr>
        <w:rPr>
          <w:color w:val="0563C1"/>
          <w:u w:val="single"/>
        </w:rPr>
      </w:pPr>
      <w:hyperlink w:anchor="2et92p0">
        <w:r>
          <w:rPr>
            <w:color w:val="0563C1"/>
            <w:u w:val="single"/>
          </w:rPr>
          <w:t>Student instructions</w:t>
        </w:r>
      </w:hyperlink>
    </w:p>
    <w:p w:rsidR="001E3B97" w:rsidRDefault="001E3B97" w:rsidP="001E3B97"/>
    <w:p w:rsidR="001E3B97" w:rsidRDefault="001E3B97" w:rsidP="001E3B97">
      <w:pPr>
        <w:rPr>
          <w:b/>
        </w:rPr>
      </w:pPr>
      <w:bookmarkStart w:id="1" w:name="30j0zll" w:colFirst="0" w:colLast="0"/>
      <w:bookmarkEnd w:id="1"/>
      <w:r>
        <w:rPr>
          <w:b/>
        </w:rPr>
        <w:t>Background information for teachers</w:t>
      </w:r>
    </w:p>
    <w:p w:rsidR="001E3B97" w:rsidRDefault="001E3B97" w:rsidP="001E3B97"/>
    <w:p w:rsidR="001E3B97" w:rsidRDefault="001E3B97" w:rsidP="001E3B97">
      <w:r>
        <w:t xml:space="preserve">Research suggests there is value in involving scientists with classrooms, as detailed in the article </w:t>
      </w:r>
      <w:hyperlink r:id="rId8">
        <w:r>
          <w:rPr>
            <w:color w:val="1155CC"/>
            <w:u w:val="single"/>
          </w:rPr>
          <w:t>Scientists talking to students through videos</w:t>
        </w:r>
      </w:hyperlink>
      <w:r>
        <w:t>. While some scientists are willing to make local school visits, Skype and other online communication tools make it possible to connect with scientists, removing the barriers associated with time and travel. Online tools also allow experts to connect from remote locations and from areas students may not be able to access due to stringent health and safety regulations.</w:t>
      </w:r>
    </w:p>
    <w:p w:rsidR="001E3B97" w:rsidRDefault="001E3B97" w:rsidP="001E3B97"/>
    <w:p w:rsidR="001E3B97" w:rsidRDefault="001E3B97" w:rsidP="001E3B97">
      <w:r>
        <w:t>This activity helps students and teachers refine their thinking before a face-to-face or online visit. By preparing beforehand, students have an opportunity (and purpose) to develop their science knowledge. Preparation also helps students to organise their questions to make optimal use of the scientist’s time.</w:t>
      </w:r>
    </w:p>
    <w:p w:rsidR="001E3B97" w:rsidRDefault="001E3B97" w:rsidP="001E3B97"/>
    <w:p w:rsidR="001E3B97" w:rsidRDefault="001E3B97" w:rsidP="001E3B97">
      <w:r>
        <w:t>The activity also encourages students to consider and establish interview etiquette protocols.</w:t>
      </w:r>
    </w:p>
    <w:p w:rsidR="001E3B97" w:rsidRDefault="001E3B97" w:rsidP="001E3B97"/>
    <w:p w:rsidR="001E3B97" w:rsidRDefault="001E3B97" w:rsidP="001E3B97">
      <w:r>
        <w:t>The student instructions are in Word. Modify them to suit classroom pedagogical needs and student abilities.</w:t>
      </w:r>
    </w:p>
    <w:p w:rsidR="001E3B97" w:rsidRDefault="001E3B97" w:rsidP="001E3B97"/>
    <w:p w:rsidR="001E3B97" w:rsidRDefault="001E3B97" w:rsidP="001E3B97">
      <w:pPr>
        <w:rPr>
          <w:b/>
        </w:rPr>
      </w:pPr>
      <w:bookmarkStart w:id="2" w:name="1fob9te" w:colFirst="0" w:colLast="0"/>
      <w:bookmarkEnd w:id="2"/>
      <w:r>
        <w:rPr>
          <w:b/>
        </w:rPr>
        <w:t>Teacher instructions</w:t>
      </w:r>
    </w:p>
    <w:p w:rsidR="001E3B97" w:rsidRDefault="001E3B97" w:rsidP="001E3B97"/>
    <w:p w:rsidR="001E3B97" w:rsidRDefault="001E3B97" w:rsidP="001E3B97">
      <w:pPr>
        <w:numPr>
          <w:ilvl w:val="0"/>
          <w:numId w:val="9"/>
        </w:numPr>
      </w:pPr>
      <w:r>
        <w:t>Discuss the purpose and the value of connecting with the science expert. Discussion points include:</w:t>
      </w:r>
    </w:p>
    <w:p w:rsidR="001E3B97" w:rsidRDefault="001E3B97" w:rsidP="001E3B97">
      <w:pPr>
        <w:numPr>
          <w:ilvl w:val="0"/>
          <w:numId w:val="8"/>
        </w:numPr>
        <w:contextualSpacing/>
      </w:pPr>
      <w:r>
        <w:t>the name of the science expert you plan to interview</w:t>
      </w:r>
    </w:p>
    <w:p w:rsidR="001E3B97" w:rsidRDefault="001E3B97" w:rsidP="001E3B97">
      <w:pPr>
        <w:numPr>
          <w:ilvl w:val="0"/>
          <w:numId w:val="8"/>
        </w:numPr>
        <w:contextualSpacing/>
      </w:pPr>
      <w:r>
        <w:t>where the expert is employed and the type of work/research that happens there</w:t>
      </w:r>
    </w:p>
    <w:p w:rsidR="001E3B97" w:rsidRDefault="001E3B97" w:rsidP="001E3B97">
      <w:pPr>
        <w:numPr>
          <w:ilvl w:val="0"/>
          <w:numId w:val="8"/>
        </w:numPr>
        <w:contextualSpacing/>
      </w:pPr>
      <w:proofErr w:type="gramStart"/>
      <w:r>
        <w:t>the</w:t>
      </w:r>
      <w:proofErr w:type="gramEnd"/>
      <w:r>
        <w:t xml:space="preserve"> reasons you have for connecting with the science expert.</w:t>
      </w:r>
    </w:p>
    <w:p w:rsidR="001E3B97" w:rsidRDefault="001E3B97" w:rsidP="001E3B97"/>
    <w:p w:rsidR="001E3B97" w:rsidRDefault="001E3B97" w:rsidP="001E3B97">
      <w:pPr>
        <w:numPr>
          <w:ilvl w:val="0"/>
          <w:numId w:val="9"/>
        </w:numPr>
      </w:pPr>
      <w:r>
        <w:t>Be explicit about the topic you will be discussing with the expert. Discussion points can include:</w:t>
      </w:r>
    </w:p>
    <w:p w:rsidR="001E3B97" w:rsidRDefault="001E3B97" w:rsidP="001E3B97">
      <w:pPr>
        <w:numPr>
          <w:ilvl w:val="0"/>
          <w:numId w:val="4"/>
        </w:numPr>
        <w:contextualSpacing/>
      </w:pPr>
      <w:r>
        <w:t>some of the underlying science concepts</w:t>
      </w:r>
    </w:p>
    <w:p w:rsidR="001E3B97" w:rsidRDefault="001E3B97" w:rsidP="001E3B97">
      <w:pPr>
        <w:numPr>
          <w:ilvl w:val="0"/>
          <w:numId w:val="4"/>
        </w:numPr>
        <w:contextualSpacing/>
      </w:pPr>
      <w:r>
        <w:t>some of the resources you can use to find out more about the topic and the science concepts</w:t>
      </w:r>
    </w:p>
    <w:p w:rsidR="001E3B97" w:rsidRDefault="001E3B97" w:rsidP="001E3B97">
      <w:pPr>
        <w:numPr>
          <w:ilvl w:val="0"/>
          <w:numId w:val="4"/>
        </w:numPr>
        <w:contextualSpacing/>
      </w:pPr>
      <w:proofErr w:type="gramStart"/>
      <w:r>
        <w:t>how</w:t>
      </w:r>
      <w:proofErr w:type="gramEnd"/>
      <w:r>
        <w:t xml:space="preserve"> and why research often helps students ask better/more informed questions.</w:t>
      </w:r>
    </w:p>
    <w:p w:rsidR="001E3B97" w:rsidRDefault="001E3B97" w:rsidP="001E3B97"/>
    <w:p w:rsidR="001E3B97" w:rsidRDefault="001E3B97" w:rsidP="001E3B97">
      <w:pPr>
        <w:numPr>
          <w:ilvl w:val="0"/>
          <w:numId w:val="9"/>
        </w:numPr>
      </w:pPr>
      <w:r>
        <w:lastRenderedPageBreak/>
        <w:t>Discuss aspects of the nature of science that students might like to discuss with the expert. Discussion points can include:</w:t>
      </w:r>
    </w:p>
    <w:p w:rsidR="001E3B97" w:rsidRDefault="001E3B97" w:rsidP="001E3B97">
      <w:pPr>
        <w:numPr>
          <w:ilvl w:val="0"/>
          <w:numId w:val="2"/>
        </w:numPr>
        <w:contextualSpacing/>
      </w:pPr>
      <w:r>
        <w:t>investigations, unusual equipment and interesting field sites</w:t>
      </w:r>
    </w:p>
    <w:p w:rsidR="001E3B97" w:rsidRDefault="001E3B97" w:rsidP="001E3B97">
      <w:pPr>
        <w:numPr>
          <w:ilvl w:val="0"/>
          <w:numId w:val="2"/>
        </w:numPr>
        <w:contextualSpacing/>
      </w:pPr>
      <w:r>
        <w:t>science-related activities that interest or excite the expert</w:t>
      </w:r>
    </w:p>
    <w:p w:rsidR="001E3B97" w:rsidRDefault="001E3B97" w:rsidP="001E3B97">
      <w:pPr>
        <w:numPr>
          <w:ilvl w:val="0"/>
          <w:numId w:val="2"/>
        </w:numPr>
        <w:contextualSpacing/>
      </w:pPr>
      <w:proofErr w:type="gramStart"/>
      <w:r>
        <w:t>how</w:t>
      </w:r>
      <w:proofErr w:type="gramEnd"/>
      <w:r>
        <w:t xml:space="preserve"> the expert came to work in the field they do.</w:t>
      </w:r>
    </w:p>
    <w:p w:rsidR="001E3B97" w:rsidRDefault="001E3B97" w:rsidP="001E3B97"/>
    <w:p w:rsidR="001E3B97" w:rsidRDefault="001E3B97" w:rsidP="001E3B97">
      <w:pPr>
        <w:numPr>
          <w:ilvl w:val="0"/>
          <w:numId w:val="9"/>
        </w:numPr>
      </w:pPr>
      <w:r>
        <w:t>Use the first page of the student instructions to record the initial questions students have about the topic or about the science expert.</w:t>
      </w:r>
    </w:p>
    <w:p w:rsidR="001E3B97" w:rsidRDefault="001E3B97" w:rsidP="001E3B97"/>
    <w:p w:rsidR="001E3B97" w:rsidRDefault="001E3B97" w:rsidP="001E3B97">
      <w:pPr>
        <w:numPr>
          <w:ilvl w:val="0"/>
          <w:numId w:val="9"/>
        </w:numPr>
      </w:pPr>
      <w:r>
        <w:t xml:space="preserve">Use the second page of the student instructions to refine the questions: </w:t>
      </w:r>
    </w:p>
    <w:p w:rsidR="001E3B97" w:rsidRDefault="001E3B97" w:rsidP="001E3B97">
      <w:pPr>
        <w:numPr>
          <w:ilvl w:val="0"/>
          <w:numId w:val="3"/>
        </w:numPr>
        <w:contextualSpacing/>
      </w:pPr>
      <w:r>
        <w:t>Check that questions are appropriate to the topic and, if the questions are about the scientist, they are not too personal.</w:t>
      </w:r>
    </w:p>
    <w:p w:rsidR="001E3B97" w:rsidRDefault="001E3B97" w:rsidP="001E3B97">
      <w:pPr>
        <w:numPr>
          <w:ilvl w:val="0"/>
          <w:numId w:val="3"/>
        </w:numPr>
        <w:contextualSpacing/>
      </w:pPr>
      <w:r>
        <w:t>Check that the questions are open-ended – that they require more than a yes or no answer – to keep things interesting for both the speaker and the audience.</w:t>
      </w:r>
    </w:p>
    <w:p w:rsidR="001E3B97" w:rsidRDefault="001E3B97" w:rsidP="001E3B97">
      <w:pPr>
        <w:numPr>
          <w:ilvl w:val="0"/>
          <w:numId w:val="3"/>
        </w:numPr>
        <w:contextualSpacing/>
      </w:pPr>
      <w:r>
        <w:t>Consider whether the questions are priority questions – the type of questions that can only be answered by the expert or would require a good deal of classroom research to answer.</w:t>
      </w:r>
    </w:p>
    <w:p w:rsidR="001E3B97" w:rsidRDefault="001E3B97" w:rsidP="001E3B97">
      <w:pPr>
        <w:numPr>
          <w:ilvl w:val="0"/>
          <w:numId w:val="3"/>
        </w:numPr>
        <w:contextualSpacing/>
      </w:pPr>
      <w:r>
        <w:t>Consider whether the questions are non-priority questions – the nice-to-know questions or questions students might be able to answer with a little research.</w:t>
      </w:r>
    </w:p>
    <w:p w:rsidR="001E3B97" w:rsidRDefault="001E3B97" w:rsidP="001E3B97"/>
    <w:p w:rsidR="001E3B97" w:rsidRDefault="001E3B97" w:rsidP="001E3B97">
      <w:pPr>
        <w:numPr>
          <w:ilvl w:val="0"/>
          <w:numId w:val="9"/>
        </w:numPr>
      </w:pPr>
      <w:bookmarkStart w:id="3" w:name="_3znysh7" w:colFirst="0" w:colLast="0"/>
      <w:bookmarkEnd w:id="3"/>
      <w:r>
        <w:t>Use the third page of the student instructions to further refine the questions:</w:t>
      </w:r>
    </w:p>
    <w:p w:rsidR="001E3B97" w:rsidRDefault="001E3B97" w:rsidP="001E3B97">
      <w:pPr>
        <w:numPr>
          <w:ilvl w:val="0"/>
          <w:numId w:val="7"/>
        </w:numPr>
        <w:contextualSpacing/>
      </w:pPr>
      <w:r>
        <w:t>Encourage students to organise the questions into subtopics/groups.</w:t>
      </w:r>
    </w:p>
    <w:p w:rsidR="001E3B97" w:rsidRDefault="001E3B97" w:rsidP="001E3B97">
      <w:pPr>
        <w:numPr>
          <w:ilvl w:val="0"/>
          <w:numId w:val="7"/>
        </w:numPr>
        <w:contextualSpacing/>
      </w:pPr>
      <w:r>
        <w:t>Refine or remove questions that overlap.</w:t>
      </w:r>
    </w:p>
    <w:p w:rsidR="001E3B97" w:rsidRDefault="001E3B97" w:rsidP="001E3B97">
      <w:pPr>
        <w:numPr>
          <w:ilvl w:val="0"/>
          <w:numId w:val="7"/>
        </w:numPr>
        <w:contextualSpacing/>
      </w:pPr>
      <w:r>
        <w:t>Negotiate and list the priority questions in the order of importance.</w:t>
      </w:r>
    </w:p>
    <w:p w:rsidR="001E3B97" w:rsidRDefault="001E3B97" w:rsidP="001E3B97">
      <w:pPr>
        <w:numPr>
          <w:ilvl w:val="0"/>
          <w:numId w:val="7"/>
        </w:numPr>
        <w:contextualSpacing/>
      </w:pPr>
      <w:r>
        <w:t>Negotiate and list the non-priority questions in the order of importance.</w:t>
      </w:r>
    </w:p>
    <w:p w:rsidR="001E3B97" w:rsidRDefault="001E3B97" w:rsidP="001E3B97"/>
    <w:p w:rsidR="001E3B97" w:rsidRDefault="001E3B97" w:rsidP="001E3B97">
      <w:pPr>
        <w:numPr>
          <w:ilvl w:val="0"/>
          <w:numId w:val="9"/>
        </w:numPr>
      </w:pPr>
      <w:r>
        <w:t>Assign questions to individual students.</w:t>
      </w:r>
    </w:p>
    <w:p w:rsidR="001E3B97" w:rsidRDefault="001E3B97" w:rsidP="001E3B97"/>
    <w:p w:rsidR="001E3B97" w:rsidRDefault="001E3B97" w:rsidP="001E3B97">
      <w:pPr>
        <w:numPr>
          <w:ilvl w:val="0"/>
          <w:numId w:val="9"/>
        </w:numPr>
      </w:pPr>
      <w:r>
        <w:t>Discuss interview etiquette. Some suggestions include:</w:t>
      </w:r>
    </w:p>
    <w:p w:rsidR="001E3B97" w:rsidRDefault="001E3B97" w:rsidP="001E3B97">
      <w:pPr>
        <w:numPr>
          <w:ilvl w:val="0"/>
          <w:numId w:val="5"/>
        </w:numPr>
        <w:contextualSpacing/>
      </w:pPr>
      <w:r>
        <w:t>standing up while asking a question so the expert can identify who is speaking</w:t>
      </w:r>
    </w:p>
    <w:p w:rsidR="001E3B97" w:rsidRDefault="001E3B97" w:rsidP="001E3B97">
      <w:pPr>
        <w:numPr>
          <w:ilvl w:val="0"/>
          <w:numId w:val="5"/>
        </w:numPr>
        <w:contextualSpacing/>
      </w:pPr>
      <w:r>
        <w:t>introducing yourself before asking the question</w:t>
      </w:r>
    </w:p>
    <w:p w:rsidR="001E3B97" w:rsidRDefault="001E3B97" w:rsidP="001E3B97">
      <w:pPr>
        <w:numPr>
          <w:ilvl w:val="0"/>
          <w:numId w:val="5"/>
        </w:numPr>
        <w:contextualSpacing/>
      </w:pPr>
      <w:r>
        <w:t>speaking loudly and clearly</w:t>
      </w:r>
    </w:p>
    <w:p w:rsidR="001E3B97" w:rsidRDefault="001E3B97" w:rsidP="001E3B97">
      <w:pPr>
        <w:numPr>
          <w:ilvl w:val="0"/>
          <w:numId w:val="5"/>
        </w:numPr>
        <w:contextualSpacing/>
      </w:pPr>
      <w:r>
        <w:t>maintaining eye contact and using non-verbal language such as nodding to encourage the interviewee and show that you’re listening and interested</w:t>
      </w:r>
    </w:p>
    <w:p w:rsidR="001E3B97" w:rsidRDefault="001E3B97" w:rsidP="001E3B97">
      <w:pPr>
        <w:numPr>
          <w:ilvl w:val="0"/>
          <w:numId w:val="5"/>
        </w:numPr>
        <w:contextualSpacing/>
      </w:pPr>
      <w:r>
        <w:t>sending a list of questions to the expert prior to the interview</w:t>
      </w:r>
    </w:p>
    <w:p w:rsidR="001E3B97" w:rsidRDefault="001E3B97" w:rsidP="001E3B97">
      <w:pPr>
        <w:numPr>
          <w:ilvl w:val="0"/>
          <w:numId w:val="5"/>
        </w:numPr>
        <w:contextualSpacing/>
      </w:pPr>
      <w:proofErr w:type="gramStart"/>
      <w:r>
        <w:t>considering</w:t>
      </w:r>
      <w:proofErr w:type="gramEnd"/>
      <w:r>
        <w:t xml:space="preserve"> how to acknowledge/thank the expert for their time.</w:t>
      </w:r>
    </w:p>
    <w:p w:rsidR="001E3B97" w:rsidRDefault="001E3B97" w:rsidP="001E3B97"/>
    <w:p w:rsidR="001E3B97" w:rsidRDefault="001E3B97" w:rsidP="001E3B97">
      <w:pPr>
        <w:numPr>
          <w:ilvl w:val="0"/>
          <w:numId w:val="9"/>
        </w:numPr>
      </w:pPr>
      <w:r>
        <w:t>Conduct a practice session before the real interview.</w:t>
      </w:r>
    </w:p>
    <w:p w:rsidR="001E3B97" w:rsidRDefault="001E3B97" w:rsidP="001E3B97"/>
    <w:p w:rsidR="001E3B97" w:rsidRDefault="001E3B97" w:rsidP="001E3B97">
      <w:pPr>
        <w:numPr>
          <w:ilvl w:val="0"/>
          <w:numId w:val="9"/>
        </w:numPr>
      </w:pPr>
      <w:r>
        <w:t>After interviewing the expert, conduct a class discussion about their preparation before the experience. Questions could include:</w:t>
      </w:r>
    </w:p>
    <w:p w:rsidR="001E3B97" w:rsidRDefault="001E3B97" w:rsidP="001E3B97">
      <w:pPr>
        <w:numPr>
          <w:ilvl w:val="0"/>
          <w:numId w:val="6"/>
        </w:numPr>
        <w:contextualSpacing/>
      </w:pPr>
      <w:r>
        <w:t>How did this process help you to develop and ask useful questions?</w:t>
      </w:r>
    </w:p>
    <w:p w:rsidR="001E3B97" w:rsidRDefault="001E3B97" w:rsidP="001E3B97">
      <w:pPr>
        <w:numPr>
          <w:ilvl w:val="0"/>
          <w:numId w:val="6"/>
        </w:numPr>
        <w:contextualSpacing/>
      </w:pPr>
      <w:r>
        <w:t>How did this process help with your understanding of the science topic?</w:t>
      </w:r>
    </w:p>
    <w:p w:rsidR="001E3B97" w:rsidRDefault="001E3B97" w:rsidP="001E3B97">
      <w:pPr>
        <w:numPr>
          <w:ilvl w:val="0"/>
          <w:numId w:val="6"/>
        </w:numPr>
        <w:contextualSpacing/>
      </w:pPr>
      <w:r>
        <w:t>If we interview a scientist in the future, what parts of this plan should we use again?</w:t>
      </w:r>
    </w:p>
    <w:p w:rsidR="001E3B97" w:rsidRDefault="001E3B97" w:rsidP="001E3B97">
      <w:pPr>
        <w:numPr>
          <w:ilvl w:val="0"/>
          <w:numId w:val="6"/>
        </w:numPr>
        <w:contextualSpacing/>
      </w:pPr>
      <w:r>
        <w:t>Are there any parts we need to change?</w:t>
      </w:r>
    </w:p>
    <w:p w:rsidR="001E3B97" w:rsidRDefault="001E3B97" w:rsidP="001E3B97"/>
    <w:p w:rsidR="001E3B97" w:rsidRDefault="001E3B97" w:rsidP="001E3B97">
      <w:r>
        <w:br w:type="page"/>
      </w:r>
    </w:p>
    <w:p w:rsidR="001E3B97" w:rsidRDefault="001E3B97" w:rsidP="001E3B97">
      <w:pPr>
        <w:rPr>
          <w:b/>
        </w:rPr>
      </w:pPr>
      <w:bookmarkStart w:id="4" w:name="2et92p0" w:colFirst="0" w:colLast="0"/>
      <w:bookmarkEnd w:id="4"/>
      <w:r>
        <w:rPr>
          <w:b/>
        </w:rPr>
        <w:lastRenderedPageBreak/>
        <w:t>Student instructions</w:t>
      </w:r>
    </w:p>
    <w:p w:rsidR="001E3B97" w:rsidRDefault="001E3B97" w:rsidP="001E3B97">
      <w:pPr>
        <w:rPr>
          <w:b/>
        </w:rPr>
      </w:pPr>
    </w:p>
    <w:p w:rsidR="001E3B97" w:rsidRDefault="001E3B97" w:rsidP="001E3B97">
      <w:r>
        <w:t>Exciting news! We have the opportunity to interview a science expert. This framework will help us create interesting and appropriate interview questions.</w:t>
      </w:r>
    </w:p>
    <w:p w:rsidR="001E3B97" w:rsidRDefault="001E3B97" w:rsidP="001E3B97"/>
    <w:tbl>
      <w:tblPr>
        <w:tblW w:w="9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8"/>
        <w:gridCol w:w="966"/>
        <w:gridCol w:w="967"/>
        <w:gridCol w:w="967"/>
        <w:gridCol w:w="967"/>
        <w:gridCol w:w="967"/>
        <w:gridCol w:w="967"/>
      </w:tblGrid>
      <w:tr w:rsidR="001E3B97" w:rsidTr="00BC4F61">
        <w:tc>
          <w:tcPr>
            <w:tcW w:w="9619" w:type="dxa"/>
            <w:gridSpan w:val="7"/>
            <w:shd w:val="clear" w:color="auto" w:fill="auto"/>
            <w:tcMar>
              <w:top w:w="100" w:type="dxa"/>
              <w:left w:w="100" w:type="dxa"/>
              <w:bottom w:w="100" w:type="dxa"/>
              <w:right w:w="100" w:type="dxa"/>
            </w:tcMar>
          </w:tcPr>
          <w:p w:rsidR="001E3B97" w:rsidRDefault="001E3B97" w:rsidP="00BC4F61">
            <w:pPr>
              <w:jc w:val="center"/>
              <w:rPr>
                <w:b/>
                <w:sz w:val="24"/>
                <w:szCs w:val="24"/>
              </w:rPr>
            </w:pPr>
            <w:r>
              <w:rPr>
                <w:b/>
                <w:sz w:val="24"/>
                <w:szCs w:val="24"/>
              </w:rPr>
              <w:t>Our first thoughts</w:t>
            </w:r>
          </w:p>
        </w:tc>
      </w:tr>
      <w:tr w:rsidR="001E3B97" w:rsidTr="00BC4F61">
        <w:tc>
          <w:tcPr>
            <w:tcW w:w="9619" w:type="dxa"/>
            <w:gridSpan w:val="7"/>
            <w:shd w:val="clear" w:color="auto" w:fill="auto"/>
            <w:tcMar>
              <w:top w:w="100" w:type="dxa"/>
              <w:left w:w="100" w:type="dxa"/>
              <w:bottom w:w="100" w:type="dxa"/>
              <w:right w:w="100" w:type="dxa"/>
            </w:tcMar>
          </w:tcPr>
          <w:p w:rsidR="001E3B97" w:rsidRDefault="001E3B97" w:rsidP="00BC4F61">
            <w:pPr>
              <w:rPr>
                <w:sz w:val="24"/>
                <w:szCs w:val="24"/>
              </w:rPr>
            </w:pPr>
            <w:r>
              <w:rPr>
                <w:sz w:val="24"/>
                <w:szCs w:val="24"/>
              </w:rPr>
              <w:t>Our science topic is:</w:t>
            </w:r>
          </w:p>
          <w:p w:rsidR="001E3B97" w:rsidRDefault="001E3B97" w:rsidP="00BC4F61">
            <w:pPr>
              <w:rPr>
                <w:sz w:val="24"/>
                <w:szCs w:val="24"/>
              </w:rPr>
            </w:pPr>
          </w:p>
          <w:p w:rsidR="001E3B97" w:rsidRDefault="001E3B97" w:rsidP="00BC4F61">
            <w:pPr>
              <w:rPr>
                <w:sz w:val="24"/>
                <w:szCs w:val="24"/>
              </w:rPr>
            </w:pPr>
          </w:p>
        </w:tc>
      </w:tr>
      <w:tr w:rsidR="001E3B97" w:rsidTr="00BC4F61">
        <w:tc>
          <w:tcPr>
            <w:tcW w:w="9619" w:type="dxa"/>
            <w:gridSpan w:val="7"/>
            <w:shd w:val="clear" w:color="auto" w:fill="auto"/>
            <w:tcMar>
              <w:top w:w="100" w:type="dxa"/>
              <w:left w:w="100" w:type="dxa"/>
              <w:bottom w:w="100" w:type="dxa"/>
              <w:right w:w="100" w:type="dxa"/>
            </w:tcMar>
          </w:tcPr>
          <w:p w:rsidR="001E3B97" w:rsidRDefault="001E3B97" w:rsidP="00BC4F61">
            <w:pPr>
              <w:rPr>
                <w:sz w:val="24"/>
                <w:szCs w:val="24"/>
              </w:rPr>
            </w:pPr>
            <w:r>
              <w:rPr>
                <w:sz w:val="24"/>
                <w:szCs w:val="24"/>
              </w:rPr>
              <w:t>Our science expert is:</w:t>
            </w:r>
          </w:p>
          <w:p w:rsidR="001E3B97" w:rsidRDefault="001E3B97" w:rsidP="00BC4F61">
            <w:pPr>
              <w:rPr>
                <w:sz w:val="24"/>
                <w:szCs w:val="24"/>
              </w:rPr>
            </w:pPr>
          </w:p>
          <w:p w:rsidR="001E3B97" w:rsidRDefault="001E3B97" w:rsidP="00BC4F61">
            <w:pPr>
              <w:rPr>
                <w:sz w:val="24"/>
                <w:szCs w:val="24"/>
              </w:rPr>
            </w:pPr>
          </w:p>
        </w:tc>
      </w:tr>
      <w:tr w:rsidR="001E3B97" w:rsidTr="00BC4F61">
        <w:tc>
          <w:tcPr>
            <w:tcW w:w="9619" w:type="dxa"/>
            <w:gridSpan w:val="7"/>
            <w:shd w:val="clear" w:color="auto" w:fill="auto"/>
            <w:tcMar>
              <w:top w:w="100" w:type="dxa"/>
              <w:left w:w="100" w:type="dxa"/>
              <w:bottom w:w="100" w:type="dxa"/>
              <w:right w:w="100" w:type="dxa"/>
            </w:tcMar>
          </w:tcPr>
          <w:p w:rsidR="001E3B97" w:rsidRDefault="001E3B97" w:rsidP="00BC4F61">
            <w:pPr>
              <w:rPr>
                <w:sz w:val="24"/>
                <w:szCs w:val="24"/>
              </w:rPr>
            </w:pPr>
            <w:r>
              <w:rPr>
                <w:sz w:val="24"/>
                <w:szCs w:val="24"/>
              </w:rPr>
              <w:t>What we know about our science expert:</w:t>
            </w: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tc>
      </w:tr>
      <w:tr w:rsidR="001E3B97" w:rsidTr="00BC4F61">
        <w:tc>
          <w:tcPr>
            <w:tcW w:w="9619" w:type="dxa"/>
            <w:gridSpan w:val="7"/>
            <w:shd w:val="clear" w:color="auto" w:fill="auto"/>
            <w:tcMar>
              <w:top w:w="100" w:type="dxa"/>
              <w:left w:w="100" w:type="dxa"/>
              <w:bottom w:w="100" w:type="dxa"/>
              <w:right w:w="100" w:type="dxa"/>
            </w:tcMar>
          </w:tcPr>
          <w:p w:rsidR="001E3B97" w:rsidRDefault="001E3B97" w:rsidP="00BC4F61">
            <w:pPr>
              <w:rPr>
                <w:sz w:val="24"/>
                <w:szCs w:val="24"/>
              </w:rPr>
            </w:pPr>
            <w:r>
              <w:rPr>
                <w:sz w:val="24"/>
                <w:szCs w:val="24"/>
              </w:rPr>
              <w:t>Questions we would like to ask our science expert about our science topic:</w:t>
            </w: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tc>
      </w:tr>
      <w:tr w:rsidR="001E3B97" w:rsidTr="00BC4F61">
        <w:tc>
          <w:tcPr>
            <w:tcW w:w="9619" w:type="dxa"/>
            <w:gridSpan w:val="7"/>
            <w:shd w:val="clear" w:color="auto" w:fill="auto"/>
            <w:tcMar>
              <w:top w:w="100" w:type="dxa"/>
              <w:left w:w="100" w:type="dxa"/>
              <w:bottom w:w="100" w:type="dxa"/>
              <w:right w:w="100" w:type="dxa"/>
            </w:tcMar>
          </w:tcPr>
          <w:p w:rsidR="001E3B97" w:rsidRDefault="001E3B97" w:rsidP="00BC4F61">
            <w:pPr>
              <w:rPr>
                <w:sz w:val="24"/>
                <w:szCs w:val="24"/>
              </w:rPr>
            </w:pPr>
            <w:r>
              <w:rPr>
                <w:sz w:val="24"/>
                <w:szCs w:val="24"/>
              </w:rPr>
              <w:t>Questions we would like to ask our science expert about their work as a scientist:</w:t>
            </w: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tc>
      </w:tr>
      <w:tr w:rsidR="001E3B97" w:rsidTr="00BC4F61">
        <w:trPr>
          <w:trHeight w:val="180"/>
        </w:trPr>
        <w:tc>
          <w:tcPr>
            <w:tcW w:w="9619" w:type="dxa"/>
            <w:gridSpan w:val="7"/>
            <w:shd w:val="clear" w:color="auto" w:fill="auto"/>
            <w:tcMar>
              <w:top w:w="100" w:type="dxa"/>
              <w:left w:w="100" w:type="dxa"/>
              <w:bottom w:w="100" w:type="dxa"/>
              <w:right w:w="100" w:type="dxa"/>
            </w:tcMar>
          </w:tcPr>
          <w:p w:rsidR="001E3B97" w:rsidRDefault="001E3B97" w:rsidP="00BC4F61">
            <w:pPr>
              <w:jc w:val="center"/>
              <w:rPr>
                <w:b/>
                <w:sz w:val="24"/>
                <w:szCs w:val="24"/>
              </w:rPr>
            </w:pPr>
            <w:r>
              <w:rPr>
                <w:b/>
                <w:sz w:val="24"/>
                <w:szCs w:val="24"/>
              </w:rPr>
              <w:lastRenderedPageBreak/>
              <w:t xml:space="preserve">Refining our questions </w:t>
            </w:r>
            <w:r>
              <w:rPr>
                <w:sz w:val="24"/>
                <w:szCs w:val="24"/>
              </w:rPr>
              <w:t>–</w:t>
            </w:r>
            <w:r>
              <w:rPr>
                <w:b/>
                <w:sz w:val="24"/>
                <w:szCs w:val="24"/>
              </w:rPr>
              <w:t xml:space="preserve"> part 1</w:t>
            </w:r>
          </w:p>
        </w:tc>
      </w:tr>
      <w:tr w:rsidR="001E3B97" w:rsidTr="00BC4F61">
        <w:trPr>
          <w:trHeight w:val="520"/>
        </w:trPr>
        <w:tc>
          <w:tcPr>
            <w:tcW w:w="3818" w:type="dxa"/>
            <w:vMerge w:val="restart"/>
            <w:shd w:val="clear" w:color="auto" w:fill="auto"/>
            <w:tcMar>
              <w:top w:w="100" w:type="dxa"/>
              <w:left w:w="100" w:type="dxa"/>
              <w:bottom w:w="100" w:type="dxa"/>
              <w:right w:w="100" w:type="dxa"/>
            </w:tcMar>
          </w:tcPr>
          <w:p w:rsidR="001E3B97" w:rsidRDefault="001E3B97" w:rsidP="00BC4F61">
            <w:pPr>
              <w:jc w:val="center"/>
              <w:rPr>
                <w:sz w:val="24"/>
                <w:szCs w:val="24"/>
              </w:rPr>
            </w:pPr>
            <w:r>
              <w:rPr>
                <w:sz w:val="24"/>
                <w:szCs w:val="24"/>
              </w:rPr>
              <w:t>Our questions</w:t>
            </w:r>
          </w:p>
        </w:tc>
        <w:tc>
          <w:tcPr>
            <w:tcW w:w="1933" w:type="dxa"/>
            <w:gridSpan w:val="2"/>
            <w:shd w:val="clear" w:color="auto" w:fill="auto"/>
            <w:tcMar>
              <w:top w:w="100" w:type="dxa"/>
              <w:left w:w="57" w:type="dxa"/>
              <w:bottom w:w="100" w:type="dxa"/>
              <w:right w:w="57" w:type="dxa"/>
            </w:tcMar>
          </w:tcPr>
          <w:p w:rsidR="001E3B97" w:rsidRDefault="001E3B97" w:rsidP="00BC4F61">
            <w:pPr>
              <w:jc w:val="center"/>
              <w:rPr>
                <w:sz w:val="24"/>
                <w:szCs w:val="24"/>
              </w:rPr>
            </w:pPr>
            <w:r>
              <w:rPr>
                <w:sz w:val="24"/>
                <w:szCs w:val="24"/>
              </w:rPr>
              <w:t>Is this an appropriate question?*</w:t>
            </w:r>
          </w:p>
          <w:p w:rsidR="001E3B97" w:rsidRDefault="001E3B97" w:rsidP="00BC4F61">
            <w:pPr>
              <w:jc w:val="center"/>
              <w:rPr>
                <w:sz w:val="24"/>
                <w:szCs w:val="24"/>
              </w:rPr>
            </w:pPr>
            <w:r>
              <w:rPr>
                <w:sz w:val="24"/>
                <w:szCs w:val="24"/>
              </w:rPr>
              <w:t>(Tick)</w:t>
            </w:r>
          </w:p>
        </w:tc>
        <w:tc>
          <w:tcPr>
            <w:tcW w:w="1934" w:type="dxa"/>
            <w:gridSpan w:val="2"/>
            <w:shd w:val="clear" w:color="auto" w:fill="auto"/>
            <w:tcMar>
              <w:top w:w="100" w:type="dxa"/>
              <w:left w:w="57" w:type="dxa"/>
              <w:bottom w:w="100" w:type="dxa"/>
              <w:right w:w="57" w:type="dxa"/>
            </w:tcMar>
          </w:tcPr>
          <w:p w:rsidR="001E3B97" w:rsidRDefault="001E3B97" w:rsidP="00BC4F61">
            <w:pPr>
              <w:jc w:val="center"/>
              <w:rPr>
                <w:sz w:val="24"/>
                <w:szCs w:val="24"/>
              </w:rPr>
            </w:pPr>
            <w:r>
              <w:rPr>
                <w:sz w:val="24"/>
                <w:szCs w:val="24"/>
              </w:rPr>
              <w:t>Is this an open-ended question</w:t>
            </w:r>
            <w:proofErr w:type="gramStart"/>
            <w:r>
              <w:rPr>
                <w:sz w:val="24"/>
                <w:szCs w:val="24"/>
              </w:rPr>
              <w:t>?*</w:t>
            </w:r>
            <w:proofErr w:type="gramEnd"/>
            <w:r>
              <w:rPr>
                <w:sz w:val="24"/>
                <w:szCs w:val="24"/>
              </w:rPr>
              <w:t xml:space="preserve">* </w:t>
            </w:r>
          </w:p>
          <w:p w:rsidR="001E3B97" w:rsidRDefault="001E3B97" w:rsidP="00BC4F61">
            <w:pPr>
              <w:jc w:val="center"/>
              <w:rPr>
                <w:sz w:val="24"/>
                <w:szCs w:val="24"/>
              </w:rPr>
            </w:pPr>
            <w:r>
              <w:rPr>
                <w:sz w:val="24"/>
                <w:szCs w:val="24"/>
              </w:rPr>
              <w:t>(Tick)</w:t>
            </w:r>
          </w:p>
        </w:tc>
        <w:tc>
          <w:tcPr>
            <w:tcW w:w="1934" w:type="dxa"/>
            <w:gridSpan w:val="2"/>
            <w:tcMar>
              <w:left w:w="57" w:type="dxa"/>
              <w:right w:w="57" w:type="dxa"/>
            </w:tcMar>
          </w:tcPr>
          <w:p w:rsidR="001E3B97" w:rsidRDefault="001E3B97" w:rsidP="00BC4F61">
            <w:pPr>
              <w:jc w:val="center"/>
              <w:rPr>
                <w:sz w:val="24"/>
                <w:szCs w:val="24"/>
              </w:rPr>
            </w:pPr>
            <w:r>
              <w:rPr>
                <w:sz w:val="24"/>
                <w:szCs w:val="24"/>
              </w:rPr>
              <w:t>Is this a priority question</w:t>
            </w:r>
            <w:proofErr w:type="gramStart"/>
            <w:r>
              <w:rPr>
                <w:sz w:val="24"/>
                <w:szCs w:val="24"/>
              </w:rPr>
              <w:t>?*</w:t>
            </w:r>
            <w:proofErr w:type="gramEnd"/>
            <w:r>
              <w:rPr>
                <w:sz w:val="24"/>
                <w:szCs w:val="24"/>
              </w:rPr>
              <w:t xml:space="preserve">** </w:t>
            </w:r>
          </w:p>
          <w:p w:rsidR="001E3B97" w:rsidRDefault="001E3B97" w:rsidP="00BC4F61">
            <w:pPr>
              <w:jc w:val="center"/>
              <w:rPr>
                <w:sz w:val="24"/>
                <w:szCs w:val="24"/>
              </w:rPr>
            </w:pPr>
            <w:r>
              <w:rPr>
                <w:sz w:val="24"/>
                <w:szCs w:val="24"/>
              </w:rPr>
              <w:t>(Tick)</w:t>
            </w:r>
          </w:p>
        </w:tc>
      </w:tr>
      <w:tr w:rsidR="001E3B97" w:rsidTr="00BC4F61">
        <w:trPr>
          <w:trHeight w:val="20"/>
        </w:trPr>
        <w:tc>
          <w:tcPr>
            <w:tcW w:w="3818" w:type="dxa"/>
            <w:vMerge/>
            <w:shd w:val="clear" w:color="auto" w:fill="auto"/>
            <w:tcMar>
              <w:top w:w="100" w:type="dxa"/>
              <w:left w:w="100" w:type="dxa"/>
              <w:bottom w:w="100" w:type="dxa"/>
              <w:right w:w="100" w:type="dxa"/>
            </w:tcMar>
          </w:tcPr>
          <w:p w:rsidR="001E3B97" w:rsidRDefault="001E3B97" w:rsidP="00BC4F61">
            <w:pPr>
              <w:jc w:val="center"/>
              <w:rPr>
                <w:sz w:val="24"/>
                <w:szCs w:val="24"/>
              </w:rPr>
            </w:pPr>
          </w:p>
        </w:tc>
        <w:tc>
          <w:tcPr>
            <w:tcW w:w="966" w:type="dxa"/>
            <w:shd w:val="clear" w:color="auto" w:fill="auto"/>
            <w:tcMar>
              <w:top w:w="100" w:type="dxa"/>
              <w:left w:w="100" w:type="dxa"/>
              <w:bottom w:w="100" w:type="dxa"/>
              <w:right w:w="100" w:type="dxa"/>
            </w:tcMar>
          </w:tcPr>
          <w:p w:rsidR="001E3B97" w:rsidRDefault="001E3B97" w:rsidP="00BC4F61">
            <w:pPr>
              <w:jc w:val="center"/>
              <w:rPr>
                <w:sz w:val="24"/>
                <w:szCs w:val="24"/>
              </w:rPr>
            </w:pPr>
            <w:r>
              <w:rPr>
                <w:sz w:val="24"/>
                <w:szCs w:val="24"/>
              </w:rPr>
              <w:t>Yes</w:t>
            </w:r>
          </w:p>
        </w:tc>
        <w:tc>
          <w:tcPr>
            <w:tcW w:w="967" w:type="dxa"/>
            <w:shd w:val="clear" w:color="auto" w:fill="auto"/>
            <w:tcMar>
              <w:top w:w="100" w:type="dxa"/>
              <w:left w:w="100" w:type="dxa"/>
              <w:bottom w:w="100" w:type="dxa"/>
              <w:right w:w="100" w:type="dxa"/>
            </w:tcMar>
          </w:tcPr>
          <w:p w:rsidR="001E3B97" w:rsidRDefault="001E3B97" w:rsidP="00BC4F61">
            <w:pPr>
              <w:jc w:val="center"/>
              <w:rPr>
                <w:sz w:val="24"/>
                <w:szCs w:val="24"/>
              </w:rPr>
            </w:pPr>
            <w:r>
              <w:rPr>
                <w:sz w:val="24"/>
                <w:szCs w:val="24"/>
              </w:rPr>
              <w:t>No</w:t>
            </w:r>
          </w:p>
        </w:tc>
        <w:tc>
          <w:tcPr>
            <w:tcW w:w="967" w:type="dxa"/>
            <w:shd w:val="clear" w:color="auto" w:fill="auto"/>
            <w:tcMar>
              <w:top w:w="100" w:type="dxa"/>
              <w:left w:w="100" w:type="dxa"/>
              <w:bottom w:w="100" w:type="dxa"/>
              <w:right w:w="100" w:type="dxa"/>
            </w:tcMar>
          </w:tcPr>
          <w:p w:rsidR="001E3B97" w:rsidRDefault="001E3B97" w:rsidP="00BC4F61">
            <w:pPr>
              <w:jc w:val="center"/>
              <w:rPr>
                <w:sz w:val="24"/>
                <w:szCs w:val="24"/>
              </w:rPr>
            </w:pPr>
            <w:r>
              <w:rPr>
                <w:sz w:val="24"/>
                <w:szCs w:val="24"/>
              </w:rPr>
              <w:t>Yes</w:t>
            </w:r>
          </w:p>
        </w:tc>
        <w:tc>
          <w:tcPr>
            <w:tcW w:w="967" w:type="dxa"/>
            <w:shd w:val="clear" w:color="auto" w:fill="auto"/>
            <w:tcMar>
              <w:top w:w="100" w:type="dxa"/>
              <w:left w:w="100" w:type="dxa"/>
              <w:bottom w:w="100" w:type="dxa"/>
              <w:right w:w="100" w:type="dxa"/>
            </w:tcMar>
          </w:tcPr>
          <w:p w:rsidR="001E3B97" w:rsidRDefault="001E3B97" w:rsidP="00BC4F61">
            <w:pPr>
              <w:jc w:val="center"/>
              <w:rPr>
                <w:sz w:val="24"/>
                <w:szCs w:val="24"/>
              </w:rPr>
            </w:pPr>
            <w:r>
              <w:rPr>
                <w:sz w:val="24"/>
                <w:szCs w:val="24"/>
              </w:rPr>
              <w:t>No</w:t>
            </w:r>
          </w:p>
        </w:tc>
        <w:tc>
          <w:tcPr>
            <w:tcW w:w="967" w:type="dxa"/>
            <w:shd w:val="clear" w:color="auto" w:fill="auto"/>
            <w:tcMar>
              <w:top w:w="100" w:type="dxa"/>
              <w:left w:w="100" w:type="dxa"/>
              <w:bottom w:w="100" w:type="dxa"/>
              <w:right w:w="100" w:type="dxa"/>
            </w:tcMar>
          </w:tcPr>
          <w:p w:rsidR="001E3B97" w:rsidRDefault="001E3B97" w:rsidP="00BC4F61">
            <w:pPr>
              <w:jc w:val="center"/>
              <w:rPr>
                <w:sz w:val="24"/>
                <w:szCs w:val="24"/>
              </w:rPr>
            </w:pPr>
            <w:r>
              <w:rPr>
                <w:sz w:val="24"/>
                <w:szCs w:val="24"/>
              </w:rPr>
              <w:t>Yes</w:t>
            </w:r>
          </w:p>
        </w:tc>
        <w:tc>
          <w:tcPr>
            <w:tcW w:w="967" w:type="dxa"/>
            <w:shd w:val="clear" w:color="auto" w:fill="auto"/>
            <w:tcMar>
              <w:top w:w="100" w:type="dxa"/>
              <w:left w:w="100" w:type="dxa"/>
              <w:bottom w:w="100" w:type="dxa"/>
              <w:right w:w="100" w:type="dxa"/>
            </w:tcMar>
          </w:tcPr>
          <w:p w:rsidR="001E3B97" w:rsidRDefault="001E3B97" w:rsidP="00BC4F61">
            <w:pPr>
              <w:jc w:val="center"/>
              <w:rPr>
                <w:sz w:val="24"/>
                <w:szCs w:val="24"/>
              </w:rPr>
            </w:pPr>
            <w:r>
              <w:rPr>
                <w:sz w:val="24"/>
                <w:szCs w:val="24"/>
              </w:rPr>
              <w:t>No</w:t>
            </w:r>
          </w:p>
        </w:tc>
      </w:tr>
      <w:tr w:rsidR="001E3B97" w:rsidTr="00BC4F61">
        <w:trPr>
          <w:trHeight w:val="1700"/>
        </w:trPr>
        <w:tc>
          <w:tcPr>
            <w:tcW w:w="3818" w:type="dxa"/>
            <w:shd w:val="clear" w:color="auto" w:fill="auto"/>
            <w:tcMar>
              <w:top w:w="100" w:type="dxa"/>
              <w:left w:w="100" w:type="dxa"/>
              <w:bottom w:w="100" w:type="dxa"/>
              <w:right w:w="100" w:type="dxa"/>
            </w:tcMar>
          </w:tcPr>
          <w:p w:rsidR="001E3B97" w:rsidRDefault="001E3B97" w:rsidP="00BC4F61">
            <w:pPr>
              <w:jc w:val="center"/>
              <w:rPr>
                <w:sz w:val="24"/>
                <w:szCs w:val="24"/>
              </w:rPr>
            </w:pPr>
          </w:p>
        </w:tc>
        <w:tc>
          <w:tcPr>
            <w:tcW w:w="966"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r>
      <w:tr w:rsidR="001E3B97" w:rsidTr="00BC4F61">
        <w:trPr>
          <w:trHeight w:val="1700"/>
        </w:trPr>
        <w:tc>
          <w:tcPr>
            <w:tcW w:w="3818" w:type="dxa"/>
            <w:shd w:val="clear" w:color="auto" w:fill="auto"/>
            <w:tcMar>
              <w:top w:w="100" w:type="dxa"/>
              <w:left w:w="100" w:type="dxa"/>
              <w:bottom w:w="100" w:type="dxa"/>
              <w:right w:w="100" w:type="dxa"/>
            </w:tcMar>
          </w:tcPr>
          <w:p w:rsidR="001E3B97" w:rsidRDefault="001E3B97" w:rsidP="00BC4F61">
            <w:pPr>
              <w:rPr>
                <w:sz w:val="24"/>
                <w:szCs w:val="24"/>
              </w:rPr>
            </w:pPr>
          </w:p>
        </w:tc>
        <w:tc>
          <w:tcPr>
            <w:tcW w:w="966"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r>
      <w:tr w:rsidR="001E3B97" w:rsidTr="00BC4F61">
        <w:trPr>
          <w:trHeight w:val="1700"/>
        </w:trPr>
        <w:tc>
          <w:tcPr>
            <w:tcW w:w="3818" w:type="dxa"/>
            <w:shd w:val="clear" w:color="auto" w:fill="auto"/>
            <w:tcMar>
              <w:top w:w="100" w:type="dxa"/>
              <w:left w:w="100" w:type="dxa"/>
              <w:bottom w:w="100" w:type="dxa"/>
              <w:right w:w="100" w:type="dxa"/>
            </w:tcMar>
          </w:tcPr>
          <w:p w:rsidR="001E3B97" w:rsidRDefault="001E3B97" w:rsidP="00BC4F61">
            <w:pPr>
              <w:rPr>
                <w:sz w:val="24"/>
                <w:szCs w:val="24"/>
              </w:rPr>
            </w:pPr>
          </w:p>
        </w:tc>
        <w:tc>
          <w:tcPr>
            <w:tcW w:w="966"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r>
      <w:tr w:rsidR="001E3B97" w:rsidTr="00BC4F61">
        <w:trPr>
          <w:trHeight w:val="1700"/>
        </w:trPr>
        <w:tc>
          <w:tcPr>
            <w:tcW w:w="3818" w:type="dxa"/>
            <w:shd w:val="clear" w:color="auto" w:fill="auto"/>
            <w:tcMar>
              <w:top w:w="100" w:type="dxa"/>
              <w:left w:w="100" w:type="dxa"/>
              <w:bottom w:w="100" w:type="dxa"/>
              <w:right w:w="100" w:type="dxa"/>
            </w:tcMar>
          </w:tcPr>
          <w:p w:rsidR="001E3B97" w:rsidRDefault="001E3B97" w:rsidP="00BC4F61">
            <w:pPr>
              <w:rPr>
                <w:sz w:val="24"/>
                <w:szCs w:val="24"/>
              </w:rPr>
            </w:pPr>
          </w:p>
        </w:tc>
        <w:tc>
          <w:tcPr>
            <w:tcW w:w="966"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r>
      <w:tr w:rsidR="001E3B97" w:rsidTr="00BC4F61">
        <w:trPr>
          <w:trHeight w:val="1700"/>
        </w:trPr>
        <w:tc>
          <w:tcPr>
            <w:tcW w:w="3818" w:type="dxa"/>
            <w:shd w:val="clear" w:color="auto" w:fill="auto"/>
            <w:tcMar>
              <w:top w:w="100" w:type="dxa"/>
              <w:left w:w="100" w:type="dxa"/>
              <w:bottom w:w="100" w:type="dxa"/>
              <w:right w:w="100" w:type="dxa"/>
            </w:tcMar>
          </w:tcPr>
          <w:p w:rsidR="001E3B97" w:rsidRDefault="001E3B97" w:rsidP="00BC4F61">
            <w:pPr>
              <w:rPr>
                <w:sz w:val="24"/>
                <w:szCs w:val="24"/>
              </w:rPr>
            </w:pPr>
          </w:p>
        </w:tc>
        <w:tc>
          <w:tcPr>
            <w:tcW w:w="966"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c>
          <w:tcPr>
            <w:tcW w:w="967" w:type="dxa"/>
            <w:shd w:val="clear" w:color="auto" w:fill="auto"/>
            <w:tcMar>
              <w:top w:w="100" w:type="dxa"/>
              <w:left w:w="100" w:type="dxa"/>
              <w:bottom w:w="100" w:type="dxa"/>
              <w:right w:w="100" w:type="dxa"/>
            </w:tcMar>
          </w:tcPr>
          <w:p w:rsidR="001E3B97" w:rsidRDefault="001E3B97" w:rsidP="00BC4F61">
            <w:pPr>
              <w:rPr>
                <w:sz w:val="24"/>
                <w:szCs w:val="24"/>
              </w:rPr>
            </w:pPr>
          </w:p>
        </w:tc>
      </w:tr>
    </w:tbl>
    <w:p w:rsidR="001E3B97" w:rsidRDefault="001E3B97" w:rsidP="001E3B97"/>
    <w:p w:rsidR="001E3B97" w:rsidRDefault="001E3B97" w:rsidP="001E3B97">
      <w:pPr>
        <w:rPr>
          <w:sz w:val="24"/>
          <w:szCs w:val="24"/>
        </w:rPr>
      </w:pPr>
      <w:r>
        <w:rPr>
          <w:sz w:val="24"/>
          <w:szCs w:val="24"/>
        </w:rPr>
        <w:t>* Appropriate questions relate to the topic and are not too personal.</w:t>
      </w:r>
    </w:p>
    <w:p w:rsidR="001E3B97" w:rsidRDefault="001E3B97" w:rsidP="001E3B97">
      <w:pPr>
        <w:rPr>
          <w:sz w:val="24"/>
          <w:szCs w:val="24"/>
        </w:rPr>
      </w:pPr>
      <w:r>
        <w:rPr>
          <w:sz w:val="24"/>
          <w:szCs w:val="24"/>
        </w:rPr>
        <w:t>** Open-ended questions require more than a yes or no answer.</w:t>
      </w:r>
    </w:p>
    <w:p w:rsidR="001E3B97" w:rsidRDefault="001E3B97" w:rsidP="001E3B97">
      <w:pPr>
        <w:rPr>
          <w:sz w:val="24"/>
          <w:szCs w:val="24"/>
        </w:rPr>
      </w:pPr>
      <w:r>
        <w:rPr>
          <w:sz w:val="24"/>
          <w:szCs w:val="24"/>
        </w:rPr>
        <w:t>*** Priority questions are those we cannot answer with simple research.</w:t>
      </w:r>
      <w:r>
        <w:br w:type="page"/>
      </w:r>
    </w:p>
    <w:tbl>
      <w:tblPr>
        <w:tblW w:w="9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9"/>
      </w:tblGrid>
      <w:tr w:rsidR="001E3B97" w:rsidTr="00BC4F61">
        <w:tc>
          <w:tcPr>
            <w:tcW w:w="9619" w:type="dxa"/>
            <w:shd w:val="clear" w:color="auto" w:fill="auto"/>
            <w:tcMar>
              <w:top w:w="100" w:type="dxa"/>
              <w:left w:w="100" w:type="dxa"/>
              <w:bottom w:w="100" w:type="dxa"/>
              <w:right w:w="100" w:type="dxa"/>
            </w:tcMar>
          </w:tcPr>
          <w:p w:rsidR="001E3B97" w:rsidRDefault="001E3B97" w:rsidP="00BC4F61">
            <w:pPr>
              <w:jc w:val="center"/>
              <w:rPr>
                <w:b/>
                <w:sz w:val="24"/>
                <w:szCs w:val="24"/>
              </w:rPr>
            </w:pPr>
            <w:r>
              <w:rPr>
                <w:b/>
                <w:sz w:val="24"/>
                <w:szCs w:val="24"/>
              </w:rPr>
              <w:lastRenderedPageBreak/>
              <w:t xml:space="preserve">Refining our questions </w:t>
            </w:r>
            <w:r>
              <w:rPr>
                <w:sz w:val="24"/>
                <w:szCs w:val="24"/>
              </w:rPr>
              <w:t xml:space="preserve">– </w:t>
            </w:r>
            <w:r>
              <w:rPr>
                <w:b/>
                <w:sz w:val="24"/>
                <w:szCs w:val="24"/>
              </w:rPr>
              <w:t>part 2</w:t>
            </w:r>
          </w:p>
        </w:tc>
      </w:tr>
      <w:tr w:rsidR="001E3B97" w:rsidTr="00BC4F61">
        <w:trPr>
          <w:trHeight w:val="3620"/>
        </w:trPr>
        <w:tc>
          <w:tcPr>
            <w:tcW w:w="9619" w:type="dxa"/>
            <w:shd w:val="clear" w:color="auto" w:fill="auto"/>
            <w:tcMar>
              <w:top w:w="100" w:type="dxa"/>
              <w:left w:w="100" w:type="dxa"/>
              <w:bottom w:w="100" w:type="dxa"/>
              <w:right w:w="100" w:type="dxa"/>
            </w:tcMar>
          </w:tcPr>
          <w:p w:rsidR="001E3B97" w:rsidRDefault="001E3B97" w:rsidP="00BC4F61">
            <w:pPr>
              <w:rPr>
                <w:sz w:val="24"/>
                <w:szCs w:val="24"/>
              </w:rPr>
            </w:pPr>
            <w:r>
              <w:rPr>
                <w:sz w:val="24"/>
                <w:szCs w:val="24"/>
              </w:rPr>
              <w:t>After looking at all of the questions, we think the questions fit into these subtopics or groups:</w:t>
            </w: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tc>
      </w:tr>
      <w:tr w:rsidR="001E3B97" w:rsidTr="00BC4F61">
        <w:trPr>
          <w:trHeight w:val="3620"/>
        </w:trPr>
        <w:tc>
          <w:tcPr>
            <w:tcW w:w="9619" w:type="dxa"/>
            <w:shd w:val="clear" w:color="auto" w:fill="auto"/>
            <w:tcMar>
              <w:top w:w="100" w:type="dxa"/>
              <w:left w:w="100" w:type="dxa"/>
              <w:bottom w:w="100" w:type="dxa"/>
              <w:right w:w="100" w:type="dxa"/>
            </w:tcMar>
          </w:tcPr>
          <w:p w:rsidR="001E3B97" w:rsidRDefault="001E3B97" w:rsidP="00BC4F61">
            <w:pPr>
              <w:rPr>
                <w:sz w:val="24"/>
                <w:szCs w:val="24"/>
              </w:rPr>
            </w:pPr>
            <w:r>
              <w:rPr>
                <w:sz w:val="24"/>
                <w:szCs w:val="24"/>
              </w:rPr>
              <w:t>We think that these are the priority questions. The questions are listed in the order we want to ask them.</w:t>
            </w: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tc>
      </w:tr>
      <w:tr w:rsidR="001E3B97" w:rsidTr="00BC4F61">
        <w:trPr>
          <w:trHeight w:val="3620"/>
        </w:trPr>
        <w:tc>
          <w:tcPr>
            <w:tcW w:w="9619" w:type="dxa"/>
            <w:vMerge w:val="restart"/>
            <w:shd w:val="clear" w:color="auto" w:fill="auto"/>
            <w:tcMar>
              <w:top w:w="100" w:type="dxa"/>
              <w:left w:w="100" w:type="dxa"/>
              <w:bottom w:w="100" w:type="dxa"/>
              <w:right w:w="100" w:type="dxa"/>
            </w:tcMar>
          </w:tcPr>
          <w:p w:rsidR="001E3B97" w:rsidRDefault="001E3B97" w:rsidP="00BC4F61">
            <w:pPr>
              <w:rPr>
                <w:sz w:val="24"/>
                <w:szCs w:val="24"/>
              </w:rPr>
            </w:pPr>
            <w:r>
              <w:rPr>
                <w:sz w:val="24"/>
                <w:szCs w:val="24"/>
              </w:rPr>
              <w:t>We think these are the non-priority (but still really interesting) questions. The questions are listed in the order we want to ask them.</w:t>
            </w: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p w:rsidR="001E3B97" w:rsidRDefault="001E3B97" w:rsidP="00BC4F61">
            <w:pPr>
              <w:rPr>
                <w:sz w:val="24"/>
                <w:szCs w:val="24"/>
              </w:rPr>
            </w:pPr>
          </w:p>
        </w:tc>
      </w:tr>
      <w:tr w:rsidR="001E3B97" w:rsidTr="00BC4F61">
        <w:trPr>
          <w:trHeight w:val="440"/>
        </w:trPr>
        <w:tc>
          <w:tcPr>
            <w:tcW w:w="9619" w:type="dxa"/>
            <w:vMerge/>
            <w:shd w:val="clear" w:color="auto" w:fill="auto"/>
            <w:tcMar>
              <w:top w:w="100" w:type="dxa"/>
              <w:left w:w="100" w:type="dxa"/>
              <w:bottom w:w="100" w:type="dxa"/>
              <w:right w:w="100" w:type="dxa"/>
            </w:tcMar>
          </w:tcPr>
          <w:p w:rsidR="001E3B97" w:rsidRDefault="001E3B97" w:rsidP="00BC4F61">
            <w:pPr>
              <w:rPr>
                <w:sz w:val="24"/>
                <w:szCs w:val="24"/>
              </w:rPr>
            </w:pPr>
          </w:p>
        </w:tc>
      </w:tr>
    </w:tbl>
    <w:p w:rsidR="00A3778D" w:rsidRDefault="00A3778D" w:rsidP="001E3B97"/>
    <w:sectPr w:rsidR="00A3778D">
      <w:headerReference w:type="default" r:id="rId9"/>
      <w:footerReference w:type="default" r:id="rId10"/>
      <w:type w:val="continuous"/>
      <w:pgSz w:w="11907"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56" w:rsidRDefault="009A5056" w:rsidP="001E3B97">
      <w:r>
        <w:separator/>
      </w:r>
    </w:p>
  </w:endnote>
  <w:endnote w:type="continuationSeparator" w:id="0">
    <w:p w:rsidR="009A5056" w:rsidRDefault="009A5056" w:rsidP="001E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17" w:rsidRDefault="009A5056">
    <w:pPr>
      <w:tabs>
        <w:tab w:val="center" w:pos="4320"/>
        <w:tab w:val="right" w:pos="9639"/>
      </w:tabs>
      <w:spacing w:before="80"/>
    </w:pPr>
    <w:r>
      <w:rPr>
        <w:color w:val="3366FF"/>
      </w:rPr>
      <w:t>© Copyright. Science Learning Hub, The University of Waikato.</w:t>
    </w:r>
    <w:r>
      <w:rPr>
        <w:color w:val="3366FF"/>
      </w:rPr>
      <w:tab/>
    </w:r>
    <w:r>
      <w:fldChar w:fldCharType="begin"/>
    </w:r>
    <w:r>
      <w:instrText>PAGE</w:instrText>
    </w:r>
    <w:r>
      <w:fldChar w:fldCharType="separate"/>
    </w:r>
    <w:r w:rsidR="001E3B97">
      <w:rPr>
        <w:noProof/>
      </w:rPr>
      <w:t>1</w:t>
    </w:r>
    <w:r>
      <w:fldChar w:fldCharType="end"/>
    </w:r>
  </w:p>
  <w:p w:rsidR="00010A17" w:rsidRDefault="009A5056">
    <w:pPr>
      <w:tabs>
        <w:tab w:val="center" w:pos="4320"/>
        <w:tab w:val="right" w:pos="8640"/>
      </w:tabs>
      <w:ind w:right="360"/>
    </w:pPr>
    <w:hyperlink r:id="rId1">
      <w:r>
        <w:rPr>
          <w:color w:val="0000FF"/>
          <w:u w:val="single"/>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56" w:rsidRDefault="009A5056" w:rsidP="001E3B97">
      <w:r>
        <w:separator/>
      </w:r>
    </w:p>
  </w:footnote>
  <w:footnote w:type="continuationSeparator" w:id="0">
    <w:p w:rsidR="009A5056" w:rsidRDefault="009A5056" w:rsidP="001E3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E3B97" w:rsidRPr="00251C18" w:rsidTr="00BC4F61">
      <w:tc>
        <w:tcPr>
          <w:tcW w:w="1980" w:type="dxa"/>
          <w:shd w:val="clear" w:color="auto" w:fill="auto"/>
        </w:tcPr>
        <w:p w:rsidR="001E3B97" w:rsidRPr="00251C18" w:rsidRDefault="001E3B97" w:rsidP="00BC4F61">
          <w:pPr>
            <w:pStyle w:val="Header"/>
            <w:rPr>
              <w:rFonts w:cs="Arial"/>
              <w:color w:val="3366FF"/>
            </w:rPr>
          </w:pPr>
        </w:p>
      </w:tc>
      <w:tc>
        <w:tcPr>
          <w:tcW w:w="7654" w:type="dxa"/>
          <w:shd w:val="clear" w:color="auto" w:fill="auto"/>
          <w:vAlign w:val="center"/>
        </w:tcPr>
        <w:p w:rsidR="001E3B97" w:rsidRPr="006A51F4" w:rsidRDefault="001E3B97" w:rsidP="00BC4F61">
          <w:pPr>
            <w:pStyle w:val="Header"/>
            <w:rPr>
              <w:rFonts w:cs="Arial"/>
              <w:color w:val="3366FF"/>
            </w:rPr>
          </w:pPr>
          <w:r w:rsidRPr="006A51F4">
            <w:rPr>
              <w:rFonts w:cs="Arial"/>
              <w:color w:val="3366FF"/>
            </w:rPr>
            <w:t xml:space="preserve">Activity: </w:t>
          </w:r>
          <w:r w:rsidRPr="001E3B97">
            <w:rPr>
              <w:rFonts w:cs="Arial"/>
              <w:color w:val="3366FF"/>
            </w:rPr>
            <w:t>Communicating with scientists – interview techniques and protocols</w:t>
          </w:r>
        </w:p>
      </w:tc>
    </w:tr>
  </w:tbl>
  <w:p w:rsidR="001E3B97" w:rsidRDefault="001E3B97" w:rsidP="001E3B97">
    <w:pPr>
      <w:pStyle w:val="Header"/>
    </w:pPr>
    <w:r>
      <w:rPr>
        <w:noProof/>
      </w:rPr>
      <w:drawing>
        <wp:anchor distT="0" distB="0" distL="114300" distR="114300" simplePos="0" relativeHeight="251659264" behindDoc="0" locked="0" layoutInCell="1" allowOverlap="1" wp14:anchorId="1EFAACFC" wp14:editId="11CB0442">
          <wp:simplePos x="0" y="0"/>
          <wp:positionH relativeFrom="column">
            <wp:posOffset>-55245</wp:posOffset>
          </wp:positionH>
          <wp:positionV relativeFrom="paragraph">
            <wp:posOffset>-360045</wp:posOffset>
          </wp:positionV>
          <wp:extent cx="1296035" cy="554990"/>
          <wp:effectExtent l="0" t="0" r="0" b="3810"/>
          <wp:wrapNone/>
          <wp:docPr id="1"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A17" w:rsidRPr="001E3B97" w:rsidRDefault="009A5056" w:rsidP="001E3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3077"/>
    <w:multiLevelType w:val="multilevel"/>
    <w:tmpl w:val="F2180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BD95117"/>
    <w:multiLevelType w:val="multilevel"/>
    <w:tmpl w:val="361AD8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AF44FCD"/>
    <w:multiLevelType w:val="multilevel"/>
    <w:tmpl w:val="7AB4E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33D2EB9"/>
    <w:multiLevelType w:val="multilevel"/>
    <w:tmpl w:val="6540D89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nsid w:val="65356CB1"/>
    <w:multiLevelType w:val="multilevel"/>
    <w:tmpl w:val="3F5E8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69E0923"/>
    <w:multiLevelType w:val="multilevel"/>
    <w:tmpl w:val="7EE82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A853D2D"/>
    <w:multiLevelType w:val="multilevel"/>
    <w:tmpl w:val="73B8D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8833DD"/>
    <w:multiLevelType w:val="multilevel"/>
    <w:tmpl w:val="D14CF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6903D83"/>
    <w:multiLevelType w:val="multilevel"/>
    <w:tmpl w:val="1ED07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97"/>
    <w:rsid w:val="001D54EF"/>
    <w:rsid w:val="001E3B97"/>
    <w:rsid w:val="0046230E"/>
    <w:rsid w:val="004C617C"/>
    <w:rsid w:val="007C5924"/>
    <w:rsid w:val="009A5056"/>
    <w:rsid w:val="00A3778D"/>
    <w:rsid w:val="00AA6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3B97"/>
    <w:pPr>
      <w:widowControl w:val="0"/>
      <w:pBdr>
        <w:top w:val="nil"/>
        <w:left w:val="nil"/>
        <w:bottom w:val="nil"/>
        <w:right w:val="nil"/>
        <w:between w:val="nil"/>
      </w:pBdr>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B97"/>
    <w:pPr>
      <w:tabs>
        <w:tab w:val="center" w:pos="4513"/>
        <w:tab w:val="right" w:pos="9026"/>
      </w:tabs>
    </w:pPr>
  </w:style>
  <w:style w:type="character" w:customStyle="1" w:styleId="HeaderChar">
    <w:name w:val="Header Char"/>
    <w:basedOn w:val="DefaultParagraphFont"/>
    <w:link w:val="Header"/>
    <w:uiPriority w:val="99"/>
    <w:rsid w:val="001E3B97"/>
    <w:rPr>
      <w:rFonts w:ascii="Verdana" w:eastAsia="Verdana" w:hAnsi="Verdana" w:cs="Verdana"/>
      <w:color w:val="000000"/>
      <w:sz w:val="20"/>
      <w:szCs w:val="20"/>
      <w:lang w:eastAsia="en-NZ"/>
    </w:rPr>
  </w:style>
  <w:style w:type="paragraph" w:styleId="Footer">
    <w:name w:val="footer"/>
    <w:basedOn w:val="Normal"/>
    <w:link w:val="FooterChar"/>
    <w:uiPriority w:val="99"/>
    <w:unhideWhenUsed/>
    <w:rsid w:val="001E3B97"/>
    <w:pPr>
      <w:tabs>
        <w:tab w:val="center" w:pos="4513"/>
        <w:tab w:val="right" w:pos="9026"/>
      </w:tabs>
    </w:pPr>
  </w:style>
  <w:style w:type="character" w:customStyle="1" w:styleId="FooterChar">
    <w:name w:val="Footer Char"/>
    <w:basedOn w:val="DefaultParagraphFont"/>
    <w:link w:val="Footer"/>
    <w:uiPriority w:val="99"/>
    <w:rsid w:val="001E3B97"/>
    <w:rPr>
      <w:rFonts w:ascii="Verdana" w:eastAsia="Verdana" w:hAnsi="Verdana" w:cs="Verdana"/>
      <w:color w:val="000000"/>
      <w:sz w:val="20"/>
      <w:szCs w:val="20"/>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3B97"/>
    <w:pPr>
      <w:widowControl w:val="0"/>
      <w:pBdr>
        <w:top w:val="nil"/>
        <w:left w:val="nil"/>
        <w:bottom w:val="nil"/>
        <w:right w:val="nil"/>
        <w:between w:val="nil"/>
      </w:pBdr>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B97"/>
    <w:pPr>
      <w:tabs>
        <w:tab w:val="center" w:pos="4513"/>
        <w:tab w:val="right" w:pos="9026"/>
      </w:tabs>
    </w:pPr>
  </w:style>
  <w:style w:type="character" w:customStyle="1" w:styleId="HeaderChar">
    <w:name w:val="Header Char"/>
    <w:basedOn w:val="DefaultParagraphFont"/>
    <w:link w:val="Header"/>
    <w:uiPriority w:val="99"/>
    <w:rsid w:val="001E3B97"/>
    <w:rPr>
      <w:rFonts w:ascii="Verdana" w:eastAsia="Verdana" w:hAnsi="Verdana" w:cs="Verdana"/>
      <w:color w:val="000000"/>
      <w:sz w:val="20"/>
      <w:szCs w:val="20"/>
      <w:lang w:eastAsia="en-NZ"/>
    </w:rPr>
  </w:style>
  <w:style w:type="paragraph" w:styleId="Footer">
    <w:name w:val="footer"/>
    <w:basedOn w:val="Normal"/>
    <w:link w:val="FooterChar"/>
    <w:uiPriority w:val="99"/>
    <w:unhideWhenUsed/>
    <w:rsid w:val="001E3B97"/>
    <w:pPr>
      <w:tabs>
        <w:tab w:val="center" w:pos="4513"/>
        <w:tab w:val="right" w:pos="9026"/>
      </w:tabs>
    </w:pPr>
  </w:style>
  <w:style w:type="character" w:customStyle="1" w:styleId="FooterChar">
    <w:name w:val="Footer Char"/>
    <w:basedOn w:val="DefaultParagraphFont"/>
    <w:link w:val="Footer"/>
    <w:uiPriority w:val="99"/>
    <w:rsid w:val="001E3B97"/>
    <w:rPr>
      <w:rFonts w:ascii="Verdana" w:eastAsia="Verdana" w:hAnsi="Verdana" w:cs="Verdana"/>
      <w:color w:val="000000"/>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317-scientists-talking-to-students-through-video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with scientists – interview techniques and protocols</dc:title>
  <dc:creator>Science Learning Hub, University of Waikato</dc:creator>
  <cp:lastModifiedBy>Vanya Bootham</cp:lastModifiedBy>
  <cp:revision>1</cp:revision>
  <dcterms:created xsi:type="dcterms:W3CDTF">2018-02-13T02:47:00Z</dcterms:created>
  <dcterms:modified xsi:type="dcterms:W3CDTF">2018-02-13T02:52:00Z</dcterms:modified>
</cp:coreProperties>
</file>