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65CA4" w14:textId="77777777" w:rsidR="001F39FA" w:rsidRPr="00C876E5" w:rsidRDefault="001F39FA" w:rsidP="001F39FA">
      <w:pPr>
        <w:jc w:val="center"/>
        <w:rPr>
          <w:b/>
          <w:sz w:val="24"/>
        </w:rPr>
      </w:pPr>
      <w:bookmarkStart w:id="0" w:name="_GoBack"/>
      <w:bookmarkEnd w:id="0"/>
      <w:r w:rsidRPr="00C876E5">
        <w:rPr>
          <w:b/>
          <w:sz w:val="24"/>
        </w:rPr>
        <w:t xml:space="preserve">ACTIVITY: </w:t>
      </w:r>
      <w:r>
        <w:rPr>
          <w:b/>
          <w:sz w:val="24"/>
        </w:rPr>
        <w:t>Making a core sample</w:t>
      </w:r>
    </w:p>
    <w:p w14:paraId="0ACCF24C" w14:textId="77777777" w:rsidR="001F39FA" w:rsidRDefault="001F39FA" w:rsidP="001F39FA"/>
    <w:p w14:paraId="7378049B" w14:textId="77777777" w:rsidR="001F39FA" w:rsidRDefault="001F39FA" w:rsidP="001F39F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E559496" w14:textId="77777777" w:rsidR="001F39FA" w:rsidRPr="007B6E21" w:rsidRDefault="001F39FA" w:rsidP="001F39FA">
      <w:pPr>
        <w:pBdr>
          <w:top w:val="single" w:sz="4" w:space="1" w:color="auto"/>
          <w:left w:val="single" w:sz="4" w:space="1" w:color="auto"/>
          <w:bottom w:val="single" w:sz="4" w:space="1" w:color="auto"/>
          <w:right w:val="single" w:sz="4" w:space="1" w:color="auto"/>
        </w:pBdr>
        <w:rPr>
          <w:b/>
        </w:rPr>
      </w:pPr>
    </w:p>
    <w:p w14:paraId="14321616" w14:textId="77777777" w:rsidR="001F39FA" w:rsidRDefault="001F39FA" w:rsidP="001F39FA">
      <w:pPr>
        <w:pBdr>
          <w:top w:val="single" w:sz="4" w:space="1" w:color="auto"/>
          <w:left w:val="single" w:sz="4" w:space="1" w:color="auto"/>
          <w:bottom w:val="single" w:sz="4" w:space="1" w:color="auto"/>
          <w:right w:val="single" w:sz="4" w:space="1" w:color="auto"/>
        </w:pBdr>
      </w:pPr>
      <w:r>
        <w:t>In this activity, students use (or observe the teacher using) a small coring tool to make a core sample from some available waste ground and examine the resulting sample for features such as particle size, colour variation and layering.</w:t>
      </w:r>
    </w:p>
    <w:p w14:paraId="60860A6E" w14:textId="77777777" w:rsidR="001F39FA" w:rsidRDefault="001F39FA" w:rsidP="001F39FA">
      <w:pPr>
        <w:pBdr>
          <w:top w:val="single" w:sz="4" w:space="1" w:color="auto"/>
          <w:left w:val="single" w:sz="4" w:space="1" w:color="auto"/>
          <w:bottom w:val="single" w:sz="4" w:space="1" w:color="auto"/>
          <w:right w:val="single" w:sz="4" w:space="1" w:color="auto"/>
        </w:pBdr>
      </w:pPr>
    </w:p>
    <w:p w14:paraId="114AFFE5" w14:textId="77777777" w:rsidR="001F39FA" w:rsidRDefault="001F39FA" w:rsidP="001F39FA">
      <w:pPr>
        <w:pBdr>
          <w:top w:val="single" w:sz="4" w:space="1" w:color="auto"/>
          <w:left w:val="single" w:sz="4" w:space="1" w:color="auto"/>
          <w:bottom w:val="single" w:sz="4" w:space="1" w:color="auto"/>
          <w:right w:val="single" w:sz="4" w:space="1" w:color="auto"/>
        </w:pBdr>
      </w:pPr>
      <w:r>
        <w:t>By the end of this activity, students should be able to:</w:t>
      </w:r>
    </w:p>
    <w:p w14:paraId="0547B72E" w14:textId="77777777" w:rsidR="001F39FA" w:rsidRDefault="001F39FA" w:rsidP="001F39FA">
      <w:pPr>
        <w:numPr>
          <w:ilvl w:val="0"/>
          <w:numId w:val="16"/>
        </w:numPr>
        <w:pBdr>
          <w:top w:val="single" w:sz="4" w:space="1" w:color="auto"/>
          <w:left w:val="single" w:sz="4" w:space="1" w:color="auto"/>
          <w:bottom w:val="single" w:sz="4" w:space="1" w:color="auto"/>
          <w:right w:val="single" w:sz="4" w:space="1" w:color="auto"/>
        </w:pBdr>
      </w:pPr>
      <w:r>
        <w:t>describe the steps in taking a small soil core sample</w:t>
      </w:r>
    </w:p>
    <w:p w14:paraId="2B4B2206" w14:textId="77777777" w:rsidR="001F39FA" w:rsidRDefault="001F39FA" w:rsidP="001F39FA">
      <w:pPr>
        <w:numPr>
          <w:ilvl w:val="0"/>
          <w:numId w:val="16"/>
        </w:numPr>
        <w:pBdr>
          <w:top w:val="single" w:sz="4" w:space="1" w:color="auto"/>
          <w:left w:val="single" w:sz="4" w:space="1" w:color="auto"/>
          <w:bottom w:val="single" w:sz="4" w:space="1" w:color="auto"/>
          <w:right w:val="single" w:sz="4" w:space="1" w:color="auto"/>
        </w:pBdr>
      </w:pPr>
      <w:r>
        <w:t>describe some of the features that can be observed in a soil core sample.</w:t>
      </w:r>
    </w:p>
    <w:p w14:paraId="7C651080" w14:textId="77777777" w:rsidR="001F39FA" w:rsidRDefault="001F39FA" w:rsidP="001F39FA"/>
    <w:p w14:paraId="4C36F3EA" w14:textId="77777777" w:rsidR="001F39FA" w:rsidRPr="00D55473" w:rsidRDefault="001F39FA" w:rsidP="001F39FA">
      <w:hyperlink w:anchor="Introduction" w:history="1">
        <w:r w:rsidRPr="00D55473">
          <w:rPr>
            <w:rStyle w:val="Hyperlink"/>
          </w:rPr>
          <w:t>I</w:t>
        </w:r>
        <w:r w:rsidRPr="00D55473">
          <w:rPr>
            <w:rStyle w:val="Hyperlink"/>
          </w:rPr>
          <w:t>n</w:t>
        </w:r>
        <w:r w:rsidRPr="00D55473">
          <w:rPr>
            <w:rStyle w:val="Hyperlink"/>
          </w:rPr>
          <w:t>troduction/background notes</w:t>
        </w:r>
      </w:hyperlink>
    </w:p>
    <w:p w14:paraId="733823C2" w14:textId="77777777" w:rsidR="001F39FA" w:rsidRPr="00D55473" w:rsidRDefault="001F39FA" w:rsidP="001F39FA">
      <w:hyperlink w:anchor="Need" w:history="1">
        <w:r w:rsidRPr="00D55473">
          <w:rPr>
            <w:rStyle w:val="Hyperlink"/>
          </w:rPr>
          <w:t>Wha</w:t>
        </w:r>
        <w:r w:rsidRPr="00D55473">
          <w:rPr>
            <w:rStyle w:val="Hyperlink"/>
          </w:rPr>
          <w:t>t</w:t>
        </w:r>
        <w:r w:rsidRPr="00D55473">
          <w:rPr>
            <w:rStyle w:val="Hyperlink"/>
          </w:rPr>
          <w:t xml:space="preserve"> you need</w:t>
        </w:r>
      </w:hyperlink>
      <w:r w:rsidRPr="00D55473">
        <w:t xml:space="preserve"> </w:t>
      </w:r>
    </w:p>
    <w:p w14:paraId="4BC0BBD1" w14:textId="77777777" w:rsidR="001F39FA" w:rsidRPr="00D55473" w:rsidRDefault="001F39FA" w:rsidP="001F39FA">
      <w:hyperlink w:anchor="Do" w:history="1">
        <w:r w:rsidRPr="00D55473">
          <w:rPr>
            <w:rStyle w:val="Hyperlink"/>
          </w:rPr>
          <w:t>Wh</w:t>
        </w:r>
        <w:r w:rsidRPr="00D55473">
          <w:rPr>
            <w:rStyle w:val="Hyperlink"/>
          </w:rPr>
          <w:t>a</w:t>
        </w:r>
        <w:r w:rsidRPr="00D55473">
          <w:rPr>
            <w:rStyle w:val="Hyperlink"/>
          </w:rPr>
          <w:t>t to do</w:t>
        </w:r>
      </w:hyperlink>
    </w:p>
    <w:p w14:paraId="3BF221F5" w14:textId="77777777" w:rsidR="001F39FA" w:rsidRDefault="001F39FA" w:rsidP="001F39FA">
      <w:hyperlink w:anchor="extension" w:history="1">
        <w:r w:rsidRPr="001F39FA">
          <w:rPr>
            <w:rStyle w:val="Hyperlink"/>
          </w:rPr>
          <w:t>Extension activities</w:t>
        </w:r>
      </w:hyperlink>
    </w:p>
    <w:p w14:paraId="530D9675" w14:textId="77777777" w:rsidR="001F39FA" w:rsidRDefault="001F39FA" w:rsidP="001F39FA"/>
    <w:p w14:paraId="4B51FA45" w14:textId="77777777" w:rsidR="001F39FA" w:rsidRDefault="001F39FA" w:rsidP="001F39FA">
      <w:pPr>
        <w:rPr>
          <w:b/>
        </w:rPr>
      </w:pPr>
      <w:bookmarkStart w:id="1" w:name="introduction"/>
      <w:bookmarkEnd w:id="1"/>
      <w:r w:rsidRPr="00D616AB">
        <w:rPr>
          <w:b/>
        </w:rPr>
        <w:t>Introduction/</w:t>
      </w:r>
      <w:r>
        <w:rPr>
          <w:b/>
        </w:rPr>
        <w:t>b</w:t>
      </w:r>
      <w:r w:rsidRPr="00D616AB">
        <w:rPr>
          <w:b/>
        </w:rPr>
        <w:t>ackground</w:t>
      </w:r>
    </w:p>
    <w:p w14:paraId="22FAF4E5" w14:textId="77777777" w:rsidR="001F39FA" w:rsidRPr="00D616AB" w:rsidRDefault="001F39FA" w:rsidP="001F39FA">
      <w:pPr>
        <w:rPr>
          <w:b/>
        </w:rPr>
      </w:pPr>
    </w:p>
    <w:p w14:paraId="1091C824" w14:textId="77777777" w:rsidR="001F39FA" w:rsidRDefault="001F39FA" w:rsidP="001F39FA">
      <w:r>
        <w:t xml:space="preserve">Taking a core sample is a widely used technique in science fieldwork: </w:t>
      </w:r>
    </w:p>
    <w:p w14:paraId="43B7C37A" w14:textId="77777777" w:rsidR="001F39FA" w:rsidRDefault="001F39FA" w:rsidP="001F39FA">
      <w:pPr>
        <w:numPr>
          <w:ilvl w:val="0"/>
          <w:numId w:val="17"/>
        </w:numPr>
      </w:pPr>
      <w:r>
        <w:t xml:space="preserve">A small core sample can be taken from a tree in order to count its rings and so find out its age without killing the tree. </w:t>
      </w:r>
    </w:p>
    <w:p w14:paraId="7BD2F436" w14:textId="77777777" w:rsidR="001F39FA" w:rsidRDefault="001F39FA" w:rsidP="001F39FA">
      <w:pPr>
        <w:numPr>
          <w:ilvl w:val="0"/>
          <w:numId w:val="17"/>
        </w:numPr>
      </w:pPr>
      <w:r>
        <w:t xml:space="preserve">Core samples are taken in ice to obtain samples of water and air from many thousands of years ago. </w:t>
      </w:r>
    </w:p>
    <w:p w14:paraId="66EFB41A" w14:textId="77777777" w:rsidR="001F39FA" w:rsidRDefault="001F39FA" w:rsidP="001F39FA">
      <w:pPr>
        <w:numPr>
          <w:ilvl w:val="0"/>
          <w:numId w:val="17"/>
        </w:numPr>
      </w:pPr>
      <w:r>
        <w:t>Core samples can be taken from the ground to find out what has happened in the ancient past and recorded in layers of soil, silt, clay, ash and rock.</w:t>
      </w:r>
    </w:p>
    <w:p w14:paraId="14DD2649" w14:textId="77777777" w:rsidR="001F39FA" w:rsidRDefault="001F39FA" w:rsidP="001F39FA"/>
    <w:p w14:paraId="03127406" w14:textId="77777777" w:rsidR="001F39FA" w:rsidRDefault="001F39FA" w:rsidP="001F39FA">
      <w:r>
        <w:t xml:space="preserve">This activity gives students a feel for what is involved in taking a soil core sample and then examining it. Unfortunately, the PVC coring tool made for this activity is only suitable for less compacted, non-rocky and preferably wet soil, sand, silt and clay. You may wish to determine the site selected is suitable by conducting your own practice run with the coring tool. For more challenging sites, a spade could be used instead to expose the layers. </w:t>
      </w:r>
    </w:p>
    <w:p w14:paraId="75F9B1D0" w14:textId="77777777" w:rsidR="001F39FA" w:rsidRDefault="001F39FA" w:rsidP="001F39FA"/>
    <w:p w14:paraId="07277C25" w14:textId="77777777" w:rsidR="001F39FA" w:rsidRDefault="001F39FA" w:rsidP="001F39FA">
      <w:pPr>
        <w:rPr>
          <w:b/>
        </w:rPr>
      </w:pPr>
      <w:bookmarkStart w:id="2" w:name="need"/>
      <w:bookmarkEnd w:id="2"/>
      <w:r w:rsidRPr="00D616AB">
        <w:rPr>
          <w:b/>
        </w:rPr>
        <w:t>What you need</w:t>
      </w:r>
    </w:p>
    <w:p w14:paraId="10D23A23" w14:textId="77777777" w:rsidR="001F39FA" w:rsidRPr="00D616AB" w:rsidRDefault="001F39FA" w:rsidP="001F39FA">
      <w:pPr>
        <w:rPr>
          <w:b/>
        </w:rPr>
      </w:pPr>
    </w:p>
    <w:p w14:paraId="6C0D0802" w14:textId="77777777" w:rsidR="001F39FA" w:rsidRDefault="001F39FA" w:rsidP="001F39FA">
      <w:pPr>
        <w:numPr>
          <w:ilvl w:val="0"/>
          <w:numId w:val="10"/>
        </w:numPr>
      </w:pPr>
      <w:r>
        <w:t>A small coring tool (see instructions below on how to construct one)</w:t>
      </w:r>
    </w:p>
    <w:p w14:paraId="4AF936E0" w14:textId="77777777" w:rsidR="001F39FA" w:rsidRDefault="001F39FA" w:rsidP="001F39FA">
      <w:pPr>
        <w:numPr>
          <w:ilvl w:val="0"/>
          <w:numId w:val="10"/>
        </w:numPr>
      </w:pPr>
      <w:r>
        <w:t>A small block of waste wood</w:t>
      </w:r>
    </w:p>
    <w:p w14:paraId="55BB1CD8" w14:textId="77777777" w:rsidR="001F39FA" w:rsidRDefault="001F39FA" w:rsidP="001F39FA">
      <w:pPr>
        <w:numPr>
          <w:ilvl w:val="0"/>
          <w:numId w:val="10"/>
        </w:numPr>
      </w:pPr>
      <w:r>
        <w:t>A hammer or mallet</w:t>
      </w:r>
    </w:p>
    <w:p w14:paraId="064E72C6" w14:textId="77777777" w:rsidR="001F39FA" w:rsidRDefault="001F39FA" w:rsidP="001F39FA">
      <w:pPr>
        <w:numPr>
          <w:ilvl w:val="0"/>
          <w:numId w:val="10"/>
        </w:numPr>
      </w:pPr>
      <w:r>
        <w:t>A screwdriver (bayonet or Phillips head to match the clamps on the coring tool)</w:t>
      </w:r>
    </w:p>
    <w:p w14:paraId="0A95C36A" w14:textId="77777777" w:rsidR="001F39FA" w:rsidRDefault="001F39FA" w:rsidP="001F39FA">
      <w:pPr>
        <w:numPr>
          <w:ilvl w:val="0"/>
          <w:numId w:val="10"/>
        </w:numPr>
      </w:pPr>
      <w:r>
        <w:t>A small sharp knife or short length of fine wire</w:t>
      </w:r>
    </w:p>
    <w:p w14:paraId="2E7676CD" w14:textId="77777777" w:rsidR="001F39FA" w:rsidRDefault="001F39FA" w:rsidP="001F39FA">
      <w:pPr>
        <w:numPr>
          <w:ilvl w:val="0"/>
          <w:numId w:val="10"/>
        </w:numPr>
      </w:pPr>
      <w:r>
        <w:t>A magnifying glass</w:t>
      </w:r>
    </w:p>
    <w:p w14:paraId="11B86048" w14:textId="77777777" w:rsidR="001F39FA" w:rsidRDefault="001F39FA" w:rsidP="001F39FA">
      <w:pPr>
        <w:numPr>
          <w:ilvl w:val="0"/>
          <w:numId w:val="10"/>
        </w:numPr>
      </w:pPr>
      <w:r>
        <w:t>A pair of tweezers and tray</w:t>
      </w:r>
    </w:p>
    <w:p w14:paraId="69525A68" w14:textId="77777777" w:rsidR="001F39FA" w:rsidRDefault="001F39FA" w:rsidP="001F39FA"/>
    <w:p w14:paraId="17634716" w14:textId="77777777" w:rsidR="001F39FA" w:rsidRDefault="001F39FA" w:rsidP="001F39FA">
      <w:pPr>
        <w:rPr>
          <w:b/>
        </w:rPr>
      </w:pPr>
      <w:bookmarkStart w:id="3" w:name="do"/>
      <w:bookmarkEnd w:id="3"/>
      <w:r w:rsidRPr="00D616AB">
        <w:rPr>
          <w:b/>
        </w:rPr>
        <w:t>What to do</w:t>
      </w:r>
    </w:p>
    <w:p w14:paraId="56AAE1C5" w14:textId="77777777" w:rsidR="001F39FA" w:rsidRDefault="001F39FA" w:rsidP="001F39FA">
      <w:pP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371"/>
      </w:tblGrid>
      <w:tr w:rsidR="001F39FA" w:rsidRPr="001B3A7E" w14:paraId="784E5F00" w14:textId="77777777" w:rsidTr="00661226">
        <w:tc>
          <w:tcPr>
            <w:tcW w:w="9828" w:type="dxa"/>
            <w:gridSpan w:val="2"/>
            <w:tcBorders>
              <w:top w:val="nil"/>
              <w:left w:val="nil"/>
              <w:bottom w:val="nil"/>
              <w:right w:val="nil"/>
            </w:tcBorders>
            <w:shd w:val="clear" w:color="auto" w:fill="auto"/>
          </w:tcPr>
          <w:p w14:paraId="74A4270B" w14:textId="77777777" w:rsidR="001F39FA" w:rsidRDefault="001F39FA" w:rsidP="00661226">
            <w:pPr>
              <w:numPr>
                <w:ilvl w:val="0"/>
                <w:numId w:val="14"/>
              </w:numPr>
            </w:pPr>
            <w:r w:rsidRPr="001B3A7E">
              <w:t>Construct the coring tool</w:t>
            </w:r>
            <w:r>
              <w:t xml:space="preserve">. </w:t>
            </w:r>
            <w:r w:rsidRPr="001B3A7E">
              <w:t xml:space="preserve">The coring tool pictured is made from a 30cm length of PVC pipe purchased from the plumbing section of a large retail building supermarket. The pipe used is 35mm outside diameter but this is not critical. </w:t>
            </w:r>
          </w:p>
          <w:p w14:paraId="587AC116" w14:textId="77777777" w:rsidR="001F39FA" w:rsidRPr="001B3A7E" w:rsidRDefault="001F39FA" w:rsidP="001F39FA"/>
        </w:tc>
      </w:tr>
      <w:tr w:rsidR="001F39FA" w:rsidRPr="001B3A7E" w14:paraId="4D75D810" w14:textId="77777777" w:rsidTr="00661226">
        <w:tc>
          <w:tcPr>
            <w:tcW w:w="9828" w:type="dxa"/>
            <w:gridSpan w:val="2"/>
            <w:tcBorders>
              <w:top w:val="nil"/>
              <w:left w:val="nil"/>
              <w:bottom w:val="nil"/>
              <w:right w:val="nil"/>
            </w:tcBorders>
            <w:shd w:val="clear" w:color="auto" w:fill="auto"/>
          </w:tcPr>
          <w:p w14:paraId="719F866C" w14:textId="146BBFF6" w:rsidR="001F39FA" w:rsidRPr="00661226" w:rsidRDefault="00F85E8D" w:rsidP="00661226">
            <w:pPr>
              <w:jc w:val="center"/>
              <w:rPr>
                <w:noProof/>
                <w:sz w:val="24"/>
                <w:lang w:val="en-US" w:eastAsia="en-US"/>
              </w:rPr>
            </w:pPr>
            <w:r w:rsidRPr="00661226">
              <w:rPr>
                <w:noProof/>
                <w:sz w:val="24"/>
                <w:lang w:val="en-US" w:eastAsia="en-US"/>
              </w:rPr>
              <w:lastRenderedPageBreak/>
              <w:drawing>
                <wp:inline distT="0" distB="0" distL="0" distR="0" wp14:anchorId="3C8C12BF" wp14:editId="69DE68EA">
                  <wp:extent cx="4343400" cy="1219200"/>
                  <wp:effectExtent l="25400" t="25400" r="25400" b="25400"/>
                  <wp:docPr id="5" name="Picture 3" descr="DSC01477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477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1219200"/>
                          </a:xfrm>
                          <a:prstGeom prst="rect">
                            <a:avLst/>
                          </a:prstGeom>
                          <a:noFill/>
                          <a:ln w="6350" cmpd="sng">
                            <a:solidFill>
                              <a:srgbClr val="000000"/>
                            </a:solidFill>
                            <a:miter lim="800000"/>
                            <a:headEnd/>
                            <a:tailEnd/>
                          </a:ln>
                          <a:effectLst/>
                        </pic:spPr>
                      </pic:pic>
                    </a:graphicData>
                  </a:graphic>
                </wp:inline>
              </w:drawing>
            </w:r>
          </w:p>
          <w:p w14:paraId="0FF4CE28" w14:textId="77777777" w:rsidR="001F39FA" w:rsidRDefault="001F39FA" w:rsidP="00661226">
            <w:pPr>
              <w:numPr>
                <w:ilvl w:val="0"/>
                <w:numId w:val="14"/>
              </w:numPr>
            </w:pPr>
            <w:r w:rsidRPr="001B3A7E">
              <w:t>Choose one end to be the bottom that will be driven into the ground. File that end so that the pipe becomes sharper and will be easier to push its way through the ground material.</w:t>
            </w:r>
          </w:p>
          <w:p w14:paraId="3D957DD1" w14:textId="77777777" w:rsidR="001F39FA" w:rsidRPr="001B3A7E" w:rsidRDefault="001F39FA" w:rsidP="001F39FA"/>
          <w:p w14:paraId="2B0897FD" w14:textId="77777777" w:rsidR="001F39FA" w:rsidRPr="001B3A7E" w:rsidRDefault="001F39FA" w:rsidP="00661226">
            <w:pPr>
              <w:numPr>
                <w:ilvl w:val="0"/>
                <w:numId w:val="14"/>
              </w:numPr>
            </w:pPr>
            <w:r w:rsidRPr="001B3A7E">
              <w:t>Use a hacksaw and a</w:t>
            </w:r>
            <w:r>
              <w:t xml:space="preserve"> </w:t>
            </w:r>
            <w:r w:rsidRPr="001B3A7E">
              <w:t>vi</w:t>
            </w:r>
            <w:r>
              <w:t>c</w:t>
            </w:r>
            <w:r w:rsidRPr="001B3A7E">
              <w:t xml:space="preserve">e to cut the pipe lengthwise into two half barrels. </w:t>
            </w:r>
            <w:r>
              <w:t xml:space="preserve">Use 2 </w:t>
            </w:r>
            <w:r w:rsidRPr="001B3A7E">
              <w:t xml:space="preserve">suitably sized metal hose clamps from the same plumbing supplier to hold the </w:t>
            </w:r>
            <w:r>
              <w:t>2</w:t>
            </w:r>
            <w:r w:rsidRPr="001B3A7E">
              <w:t xml:space="preserve"> halves of the coring tool together</w:t>
            </w:r>
          </w:p>
          <w:p w14:paraId="03BB8F51" w14:textId="77777777" w:rsidR="001F39FA" w:rsidRPr="00661226" w:rsidRDefault="001F39FA" w:rsidP="001F39FA">
            <w:pPr>
              <w:rPr>
                <w:noProof/>
                <w:sz w:val="24"/>
                <w:lang w:val="en-US" w:eastAsia="en-US"/>
              </w:rPr>
            </w:pPr>
          </w:p>
        </w:tc>
      </w:tr>
      <w:tr w:rsidR="001F39FA" w:rsidRPr="00661226" w14:paraId="692EE92D" w14:textId="77777777" w:rsidTr="00661226">
        <w:trPr>
          <w:trHeight w:val="2464"/>
        </w:trPr>
        <w:tc>
          <w:tcPr>
            <w:tcW w:w="9828" w:type="dxa"/>
            <w:gridSpan w:val="2"/>
            <w:tcBorders>
              <w:top w:val="nil"/>
              <w:left w:val="nil"/>
              <w:bottom w:val="nil"/>
              <w:right w:val="nil"/>
            </w:tcBorders>
            <w:shd w:val="clear" w:color="auto" w:fill="auto"/>
          </w:tcPr>
          <w:p w14:paraId="3CEEBC26" w14:textId="77777777" w:rsidR="001F39FA" w:rsidRDefault="001F39FA" w:rsidP="00661226">
            <w:pPr>
              <w:numPr>
                <w:ilvl w:val="0"/>
                <w:numId w:val="14"/>
              </w:numPr>
            </w:pPr>
            <w:r>
              <w:t>Select a suitable site for taking a core sample. If you do not have a site of particular interest, you could choose one on waste ground or on a spot of a lawn where a small hole will not be noticed. The wetter the ground, the easier it will be to take a core sample. Do not try to take a sample in heavily compacted or rocky ground material or where soil has been artificially dumped. Slopes often provide interesting results for this study.</w:t>
            </w:r>
          </w:p>
          <w:p w14:paraId="2DB4CB95" w14:textId="77777777" w:rsidR="001F39FA" w:rsidRDefault="001F39FA" w:rsidP="00B14BFD"/>
          <w:p w14:paraId="0BF2DB70" w14:textId="77777777" w:rsidR="001F39FA" w:rsidRDefault="001F39FA" w:rsidP="00661226">
            <w:pPr>
              <w:numPr>
                <w:ilvl w:val="0"/>
                <w:numId w:val="14"/>
              </w:numPr>
            </w:pPr>
            <w:r>
              <w:t>Tighten the top clamp on the coring tool tightly with the screwdriver and adjust the bottom clamp so that it holds the two halves of the coring tool together but can still slide along the barrel.</w:t>
            </w:r>
          </w:p>
          <w:p w14:paraId="7ED91606" w14:textId="77777777" w:rsidR="001F39FA" w:rsidRPr="00661226" w:rsidRDefault="001F39FA" w:rsidP="00B14BFD">
            <w:pPr>
              <w:rPr>
                <w:b/>
              </w:rPr>
            </w:pPr>
          </w:p>
        </w:tc>
      </w:tr>
      <w:tr w:rsidR="001F39FA" w:rsidRPr="00661226" w14:paraId="188F72E2" w14:textId="77777777" w:rsidTr="00661226">
        <w:tc>
          <w:tcPr>
            <w:tcW w:w="5457" w:type="dxa"/>
            <w:tcBorders>
              <w:top w:val="nil"/>
              <w:left w:val="nil"/>
              <w:bottom w:val="nil"/>
              <w:right w:val="nil"/>
            </w:tcBorders>
            <w:shd w:val="clear" w:color="auto" w:fill="auto"/>
          </w:tcPr>
          <w:p w14:paraId="47B44D12" w14:textId="77777777" w:rsidR="001F39FA" w:rsidRDefault="001F39FA" w:rsidP="00661226">
            <w:pPr>
              <w:numPr>
                <w:ilvl w:val="0"/>
                <w:numId w:val="14"/>
              </w:numPr>
            </w:pPr>
            <w:r>
              <w:t>Start to hit the coring tool firmly into the ground using the hammer to hit the block of wood placed on top of the coring tool. The picture shows this arrangement and the sharp knife and screwdriver.</w:t>
            </w:r>
          </w:p>
          <w:p w14:paraId="6AFD90B1" w14:textId="77777777" w:rsidR="001F39FA" w:rsidRDefault="001F39FA" w:rsidP="001F39FA"/>
          <w:p w14:paraId="1CA4B862" w14:textId="77777777" w:rsidR="001F39FA" w:rsidRDefault="001F39FA" w:rsidP="00661226">
            <w:pPr>
              <w:numPr>
                <w:ilvl w:val="0"/>
                <w:numId w:val="14"/>
              </w:numPr>
            </w:pPr>
            <w:r>
              <w:t xml:space="preserve">As you hit the coring tool into the ground, stop several times to slide the bottom clamp a few centimetres up from the ground surface. </w:t>
            </w:r>
          </w:p>
          <w:p w14:paraId="76425899" w14:textId="77777777" w:rsidR="001F39FA" w:rsidRPr="00661226" w:rsidRDefault="001F39FA" w:rsidP="00B14BFD">
            <w:pPr>
              <w:rPr>
                <w:b/>
              </w:rPr>
            </w:pPr>
          </w:p>
        </w:tc>
        <w:tc>
          <w:tcPr>
            <w:tcW w:w="4371" w:type="dxa"/>
            <w:tcBorders>
              <w:top w:val="nil"/>
              <w:left w:val="nil"/>
              <w:bottom w:val="nil"/>
              <w:right w:val="nil"/>
            </w:tcBorders>
            <w:shd w:val="clear" w:color="auto" w:fill="auto"/>
          </w:tcPr>
          <w:p w14:paraId="6A4DCCFB" w14:textId="6015C09D" w:rsidR="001F39FA" w:rsidRPr="00661226" w:rsidRDefault="00F85E8D" w:rsidP="00B14BFD">
            <w:pPr>
              <w:rPr>
                <w:noProof/>
                <w:sz w:val="24"/>
                <w:lang w:val="en-US" w:eastAsia="en-US"/>
              </w:rPr>
            </w:pPr>
            <w:r w:rsidRPr="00661226">
              <w:rPr>
                <w:noProof/>
                <w:sz w:val="24"/>
                <w:lang w:val="en-US" w:eastAsia="en-US"/>
              </w:rPr>
              <w:drawing>
                <wp:inline distT="0" distB="0" distL="0" distR="0" wp14:anchorId="64B800C0" wp14:editId="24C62212">
                  <wp:extent cx="2641600" cy="1981200"/>
                  <wp:effectExtent l="0" t="0" r="0" b="0"/>
                  <wp:docPr id="4" name="Picture 1" descr="DSC01478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478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1981200"/>
                          </a:xfrm>
                          <a:prstGeom prst="rect">
                            <a:avLst/>
                          </a:prstGeom>
                          <a:noFill/>
                          <a:ln>
                            <a:noFill/>
                          </a:ln>
                        </pic:spPr>
                      </pic:pic>
                    </a:graphicData>
                  </a:graphic>
                </wp:inline>
              </w:drawing>
            </w:r>
          </w:p>
          <w:p w14:paraId="45BDAC80" w14:textId="77777777" w:rsidR="001F39FA" w:rsidRPr="00661226" w:rsidRDefault="001F39FA" w:rsidP="00B14BFD">
            <w:pPr>
              <w:rPr>
                <w:b/>
              </w:rPr>
            </w:pPr>
          </w:p>
        </w:tc>
      </w:tr>
      <w:tr w:rsidR="001F39FA" w:rsidRPr="00661226" w14:paraId="24787859" w14:textId="77777777" w:rsidTr="00661226">
        <w:tc>
          <w:tcPr>
            <w:tcW w:w="9828" w:type="dxa"/>
            <w:gridSpan w:val="2"/>
            <w:tcBorders>
              <w:top w:val="nil"/>
              <w:left w:val="nil"/>
              <w:bottom w:val="nil"/>
              <w:right w:val="nil"/>
            </w:tcBorders>
            <w:shd w:val="clear" w:color="auto" w:fill="auto"/>
          </w:tcPr>
          <w:p w14:paraId="52370D69" w14:textId="77777777" w:rsidR="001F39FA" w:rsidRDefault="001F39FA" w:rsidP="00661226">
            <w:pPr>
              <w:numPr>
                <w:ilvl w:val="0"/>
                <w:numId w:val="14"/>
              </w:numPr>
            </w:pPr>
            <w:r>
              <w:t>Stop when the coring tool is 20–25cm in the ground. This gives enough of the tool to hold when you now pull it slowly out of the ground. Wiggle the tool gently from side to side if it is difficult to pull out. You may have to dig into the ground a little way around the tool if it is more firmly stuck. Alternatively, you could take smaller core samples a few centimetres long at a time and assemble them together. This method involves more work in taking the coring tool apart and assembling it repeatedly, but it easier to pull the tool out of the ground each time.</w:t>
            </w:r>
          </w:p>
          <w:p w14:paraId="250A4FA9" w14:textId="77777777" w:rsidR="001F39FA" w:rsidRDefault="001F39FA" w:rsidP="00B14BFD"/>
          <w:p w14:paraId="179ECA0F" w14:textId="77777777" w:rsidR="001F39FA" w:rsidRDefault="001F39FA" w:rsidP="00661226">
            <w:pPr>
              <w:numPr>
                <w:ilvl w:val="0"/>
                <w:numId w:val="14"/>
              </w:numPr>
            </w:pPr>
            <w:r>
              <w:t>When the tool is removed from the ground, use the screwdriver to unfasten both clamps. Hold the coring tool horizontally and gently pull one half of the barrel off the other to reveal the coil sample. You will find the core sample has been compacted a little in the coring process.</w:t>
            </w:r>
          </w:p>
          <w:p w14:paraId="41BA55C0" w14:textId="77777777" w:rsidR="001F39FA" w:rsidRPr="00661226" w:rsidRDefault="001F39FA" w:rsidP="00B14BFD">
            <w:pPr>
              <w:rPr>
                <w:b/>
              </w:rPr>
            </w:pPr>
          </w:p>
        </w:tc>
      </w:tr>
      <w:tr w:rsidR="001F39FA" w:rsidRPr="00661226" w14:paraId="56A8403E" w14:textId="77777777" w:rsidTr="00661226">
        <w:tc>
          <w:tcPr>
            <w:tcW w:w="9828" w:type="dxa"/>
            <w:gridSpan w:val="2"/>
            <w:tcBorders>
              <w:top w:val="nil"/>
              <w:left w:val="nil"/>
              <w:bottom w:val="nil"/>
              <w:right w:val="nil"/>
            </w:tcBorders>
            <w:shd w:val="clear" w:color="auto" w:fill="auto"/>
          </w:tcPr>
          <w:p w14:paraId="3CADC0C1" w14:textId="77777777" w:rsidR="001F39FA" w:rsidRDefault="001F39FA" w:rsidP="00661226">
            <w:pPr>
              <w:numPr>
                <w:ilvl w:val="0"/>
                <w:numId w:val="14"/>
              </w:numPr>
            </w:pPr>
            <w:r>
              <w:t xml:space="preserve">Carefully cut the sample lengthwise in half along the sides of the half-barrel. The photo shows a core sample from a grass lawn as an example of what you could end up with. </w:t>
            </w:r>
          </w:p>
          <w:p w14:paraId="70C87E75" w14:textId="77777777" w:rsidR="001F39FA" w:rsidRPr="00661226" w:rsidRDefault="001F39FA" w:rsidP="00B14BFD">
            <w:pPr>
              <w:rPr>
                <w:b/>
              </w:rPr>
            </w:pPr>
          </w:p>
        </w:tc>
      </w:tr>
      <w:tr w:rsidR="001F39FA" w:rsidRPr="00661226" w14:paraId="402789C8" w14:textId="77777777" w:rsidTr="00661226">
        <w:tc>
          <w:tcPr>
            <w:tcW w:w="9828" w:type="dxa"/>
            <w:gridSpan w:val="2"/>
            <w:tcBorders>
              <w:top w:val="nil"/>
              <w:left w:val="nil"/>
              <w:bottom w:val="nil"/>
              <w:right w:val="nil"/>
            </w:tcBorders>
            <w:shd w:val="clear" w:color="auto" w:fill="auto"/>
          </w:tcPr>
          <w:p w14:paraId="0FB5808A" w14:textId="1A492FAC" w:rsidR="001F39FA" w:rsidRPr="00661226" w:rsidRDefault="00F85E8D" w:rsidP="00661226">
            <w:pPr>
              <w:jc w:val="center"/>
              <w:rPr>
                <w:noProof/>
                <w:sz w:val="24"/>
                <w:lang w:val="en-US" w:eastAsia="en-US"/>
              </w:rPr>
            </w:pPr>
            <w:r w:rsidRPr="00661226">
              <w:rPr>
                <w:noProof/>
                <w:sz w:val="24"/>
                <w:lang w:val="en-US" w:eastAsia="en-US"/>
              </w:rPr>
              <w:drawing>
                <wp:inline distT="0" distB="0" distL="0" distR="0" wp14:anchorId="0201BE04" wp14:editId="6854DA57">
                  <wp:extent cx="4406900" cy="1257300"/>
                  <wp:effectExtent l="0" t="0" r="12700" b="12700"/>
                  <wp:docPr id="3" name="Picture 2" descr="DSC01542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542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6900" cy="1257300"/>
                          </a:xfrm>
                          <a:prstGeom prst="rect">
                            <a:avLst/>
                          </a:prstGeom>
                          <a:noFill/>
                          <a:ln>
                            <a:noFill/>
                          </a:ln>
                        </pic:spPr>
                      </pic:pic>
                    </a:graphicData>
                  </a:graphic>
                </wp:inline>
              </w:drawing>
            </w:r>
          </w:p>
          <w:p w14:paraId="4110E4D5" w14:textId="77777777" w:rsidR="001F39FA" w:rsidRPr="00661226" w:rsidRDefault="001F39FA" w:rsidP="00B14BFD">
            <w:pPr>
              <w:rPr>
                <w:b/>
              </w:rPr>
            </w:pPr>
          </w:p>
        </w:tc>
      </w:tr>
      <w:tr w:rsidR="001F39FA" w:rsidRPr="00661226" w14:paraId="7050171E" w14:textId="77777777" w:rsidTr="00661226">
        <w:trPr>
          <w:trHeight w:val="490"/>
        </w:trPr>
        <w:tc>
          <w:tcPr>
            <w:tcW w:w="9828" w:type="dxa"/>
            <w:gridSpan w:val="2"/>
            <w:tcBorders>
              <w:top w:val="nil"/>
              <w:left w:val="nil"/>
              <w:bottom w:val="nil"/>
              <w:right w:val="nil"/>
            </w:tcBorders>
            <w:shd w:val="clear" w:color="auto" w:fill="auto"/>
          </w:tcPr>
          <w:p w14:paraId="47DDA5A8" w14:textId="77777777" w:rsidR="001F39FA" w:rsidRDefault="001F39FA" w:rsidP="00661226">
            <w:pPr>
              <w:numPr>
                <w:ilvl w:val="0"/>
                <w:numId w:val="14"/>
              </w:numPr>
            </w:pPr>
            <w:r>
              <w:t>Examine the sample closely using the magnifying glass. No layering is seen in the sample above, but the gradual colour change towards the bottom (left) shows more clay deeper in the soil. You could also use a digital camera set on macro to record details of interesting features that may be revealed.</w:t>
            </w:r>
          </w:p>
          <w:p w14:paraId="1D28FC5E" w14:textId="77777777" w:rsidR="001F39FA" w:rsidRDefault="001F39FA" w:rsidP="00B14BFD"/>
          <w:p w14:paraId="48666FEC" w14:textId="77777777" w:rsidR="001F39FA" w:rsidRDefault="001F39FA" w:rsidP="00661226">
            <w:pPr>
              <w:numPr>
                <w:ilvl w:val="0"/>
                <w:numId w:val="14"/>
              </w:numPr>
            </w:pPr>
            <w:r>
              <w:t>Use tweezers to tease through the material in the sample and lift out items of interest that can be placed in a tray. Several tiny pieces of dark rock (2–3 mm in diameter) were found towards the bottom of this sample. Another feature that could be measured is the depth to which plant material penetrates the soil. In the sample above, the deepest roots were approximately 5cm down.</w:t>
            </w:r>
          </w:p>
          <w:p w14:paraId="1CE09F68" w14:textId="77777777" w:rsidR="001F39FA" w:rsidRPr="00661226" w:rsidRDefault="001F39FA" w:rsidP="00B14BFD">
            <w:pPr>
              <w:rPr>
                <w:b/>
              </w:rPr>
            </w:pPr>
          </w:p>
        </w:tc>
      </w:tr>
    </w:tbl>
    <w:p w14:paraId="4B93DEE5" w14:textId="77777777" w:rsidR="001F39FA" w:rsidRDefault="001F39FA" w:rsidP="001F39FA">
      <w:pPr>
        <w:rPr>
          <w:b/>
        </w:rPr>
      </w:pPr>
      <w:bookmarkStart w:id="4" w:name="extension"/>
      <w:bookmarkEnd w:id="4"/>
      <w:r w:rsidRPr="000D5EFF">
        <w:rPr>
          <w:b/>
        </w:rPr>
        <w:t xml:space="preserve">Extension </w:t>
      </w:r>
      <w:r>
        <w:rPr>
          <w:b/>
        </w:rPr>
        <w:t>activities</w:t>
      </w:r>
    </w:p>
    <w:p w14:paraId="02DAE0EB" w14:textId="77777777" w:rsidR="001F39FA" w:rsidRPr="000D5EFF" w:rsidRDefault="001F39FA" w:rsidP="001F39FA">
      <w:pPr>
        <w:rPr>
          <w:b/>
        </w:rPr>
      </w:pPr>
    </w:p>
    <w:p w14:paraId="21F3562A" w14:textId="77777777" w:rsidR="001F39FA" w:rsidRDefault="001F39FA" w:rsidP="001F39FA">
      <w:r>
        <w:t>Students (or teachers) could dig down further using a spade to remove most of the vegetation and topsoil and expose deeper layers. If the material exposed is not too compacted, the procedure above could be used to take a deeper sample that might reveal more interesting features.</w:t>
      </w:r>
    </w:p>
    <w:p w14:paraId="0F3D44FB" w14:textId="77777777" w:rsidR="00B14BFD" w:rsidRDefault="00B14BFD" w:rsidP="00B14BFD"/>
    <w:sectPr w:rsidR="00B14BFD" w:rsidSect="00B14BFD">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A8EE" w14:textId="77777777" w:rsidR="00DA4379" w:rsidRDefault="00DA4379">
      <w:r>
        <w:separator/>
      </w:r>
    </w:p>
  </w:endnote>
  <w:endnote w:type="continuationSeparator" w:id="0">
    <w:p w14:paraId="6415B915" w14:textId="77777777" w:rsidR="00DA4379" w:rsidRDefault="00DA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1863" w14:textId="77777777" w:rsidR="00B14BFD" w:rsidRDefault="00B14BFD" w:rsidP="00B14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4379">
      <w:rPr>
        <w:rStyle w:val="PageNumber"/>
        <w:noProof/>
      </w:rPr>
      <w:t>1</w:t>
    </w:r>
    <w:r>
      <w:rPr>
        <w:rStyle w:val="PageNumber"/>
      </w:rPr>
      <w:fldChar w:fldCharType="end"/>
    </w:r>
  </w:p>
  <w:p w14:paraId="51AE506D" w14:textId="77777777" w:rsidR="00F85E8D" w:rsidRPr="005E307E" w:rsidRDefault="00F85E8D" w:rsidP="00F85E8D">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275043DC" w14:textId="77777777" w:rsidR="00B14BFD" w:rsidRPr="00035E8D" w:rsidRDefault="00F85E8D" w:rsidP="00F85E8D">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05BE4" w14:textId="77777777" w:rsidR="00DA4379" w:rsidRDefault="00DA4379">
      <w:r>
        <w:separator/>
      </w:r>
    </w:p>
  </w:footnote>
  <w:footnote w:type="continuationSeparator" w:id="0">
    <w:p w14:paraId="4D0B3581" w14:textId="77777777" w:rsidR="00DA4379" w:rsidRDefault="00DA43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85E8D" w:rsidRPr="00251C18" w14:paraId="5D5A1E11" w14:textId="77777777" w:rsidTr="003503D0">
      <w:tc>
        <w:tcPr>
          <w:tcW w:w="1980" w:type="dxa"/>
          <w:shd w:val="clear" w:color="auto" w:fill="auto"/>
        </w:tcPr>
        <w:p w14:paraId="28E4E730" w14:textId="77777777" w:rsidR="00F85E8D" w:rsidRPr="00251C18" w:rsidRDefault="00F85E8D" w:rsidP="003503D0">
          <w:pPr>
            <w:pStyle w:val="Header"/>
            <w:tabs>
              <w:tab w:val="clear" w:pos="4320"/>
              <w:tab w:val="clear" w:pos="8640"/>
            </w:tabs>
            <w:rPr>
              <w:rFonts w:cs="Arial"/>
              <w:color w:val="3366FF"/>
            </w:rPr>
          </w:pPr>
        </w:p>
      </w:tc>
      <w:tc>
        <w:tcPr>
          <w:tcW w:w="7654" w:type="dxa"/>
          <w:shd w:val="clear" w:color="auto" w:fill="auto"/>
          <w:vAlign w:val="center"/>
        </w:tcPr>
        <w:p w14:paraId="7085F021" w14:textId="77777777" w:rsidR="00F85E8D" w:rsidRPr="00251C18" w:rsidRDefault="00F85E8D" w:rsidP="003503D0">
          <w:pPr>
            <w:pStyle w:val="Header"/>
            <w:tabs>
              <w:tab w:val="clear" w:pos="4320"/>
              <w:tab w:val="clear" w:pos="8640"/>
            </w:tabs>
            <w:rPr>
              <w:rFonts w:cs="Arial"/>
              <w:color w:val="3366FF"/>
            </w:rPr>
          </w:pPr>
          <w:r>
            <w:rPr>
              <w:rFonts w:cs="Arial"/>
              <w:color w:val="3366FF"/>
            </w:rPr>
            <w:t>Activity: Making a core sample</w:t>
          </w:r>
        </w:p>
      </w:tc>
    </w:tr>
  </w:tbl>
  <w:p w14:paraId="65406A95" w14:textId="6C1A2322" w:rsidR="00F85E8D" w:rsidRDefault="00F85E8D" w:rsidP="00F85E8D">
    <w:pPr>
      <w:pStyle w:val="Header"/>
      <w:tabs>
        <w:tab w:val="clear" w:pos="4320"/>
        <w:tab w:val="clear" w:pos="8640"/>
        <w:tab w:val="left" w:pos="3226"/>
      </w:tabs>
    </w:pPr>
    <w:r>
      <w:rPr>
        <w:noProof/>
        <w:lang w:val="en-US" w:eastAsia="en-US"/>
      </w:rPr>
      <w:drawing>
        <wp:anchor distT="0" distB="0" distL="114300" distR="114300" simplePos="0" relativeHeight="251659264" behindDoc="0" locked="0" layoutInCell="1" allowOverlap="1" wp14:anchorId="183474C1" wp14:editId="076FEE6B">
          <wp:simplePos x="0" y="0"/>
          <wp:positionH relativeFrom="column">
            <wp:posOffset>-55245</wp:posOffset>
          </wp:positionH>
          <wp:positionV relativeFrom="paragraph">
            <wp:posOffset>-359410</wp:posOffset>
          </wp:positionV>
          <wp:extent cx="1296035" cy="554990"/>
          <wp:effectExtent l="0" t="0" r="0" b="3810"/>
          <wp:wrapNone/>
          <wp:docPr id="1"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345D25B" w14:textId="77777777" w:rsidR="00F85E8D" w:rsidRPr="00780834" w:rsidRDefault="00F85E8D" w:rsidP="00F85E8D">
    <w:pPr>
      <w:pStyle w:val="Header"/>
    </w:pPr>
  </w:p>
  <w:p w14:paraId="58A3F367" w14:textId="77777777" w:rsidR="00B14BFD" w:rsidRPr="00F85E8D" w:rsidRDefault="00B14BFD" w:rsidP="00F85E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AA0"/>
    <w:multiLevelType w:val="hybridMultilevel"/>
    <w:tmpl w:val="87F67658"/>
    <w:lvl w:ilvl="0" w:tplc="0809000F">
      <w:start w:val="1"/>
      <w:numFmt w:val="decimal"/>
      <w:lvlText w:val="%1."/>
      <w:lvlJc w:val="left"/>
      <w:pPr>
        <w:tabs>
          <w:tab w:val="num" w:pos="360"/>
        </w:tabs>
        <w:ind w:left="360" w:hanging="360"/>
      </w:pPr>
      <w:rPr>
        <w:rFonts w:hint="default"/>
        <w:color w:val="auto"/>
      </w:rPr>
    </w:lvl>
    <w:lvl w:ilvl="1" w:tplc="98B28E0A">
      <w:start w:val="1"/>
      <w:numFmt w:val="bullet"/>
      <w:lvlText w:val=""/>
      <w:lvlJc w:val="left"/>
      <w:pPr>
        <w:tabs>
          <w:tab w:val="num" w:pos="3960"/>
        </w:tabs>
        <w:ind w:left="3960" w:hanging="360"/>
      </w:pPr>
      <w:rPr>
        <w:rFonts w:ascii="Symbol" w:hAnsi="Symbol" w:hint="default"/>
        <w:color w:val="auto"/>
      </w:r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
    <w:nsid w:val="01E31CB4"/>
    <w:multiLevelType w:val="hybridMultilevel"/>
    <w:tmpl w:val="0116F0BA"/>
    <w:lvl w:ilvl="0" w:tplc="302C92F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0A2855BB"/>
    <w:multiLevelType w:val="hybridMultilevel"/>
    <w:tmpl w:val="57FE3A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B00F2E"/>
    <w:multiLevelType w:val="hybridMultilevel"/>
    <w:tmpl w:val="EF3A1C8A"/>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4">
    <w:nsid w:val="122268DF"/>
    <w:multiLevelType w:val="hybridMultilevel"/>
    <w:tmpl w:val="F51CE4CA"/>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B865DF"/>
    <w:multiLevelType w:val="hybridMultilevel"/>
    <w:tmpl w:val="D6EE0DD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6">
    <w:nsid w:val="1E653243"/>
    <w:multiLevelType w:val="hybridMultilevel"/>
    <w:tmpl w:val="FDC63F1A"/>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7">
    <w:nsid w:val="22CD3DAE"/>
    <w:multiLevelType w:val="hybridMultilevel"/>
    <w:tmpl w:val="69403CA4"/>
    <w:lvl w:ilvl="0" w:tplc="302C92F4">
      <w:start w:val="1"/>
      <w:numFmt w:val="bullet"/>
      <w:pStyle w:val="StyleVerdanaRight05cm"/>
      <w:lvlText w:val=""/>
      <w:lvlJc w:val="left"/>
      <w:pPr>
        <w:tabs>
          <w:tab w:val="num" w:pos="567"/>
        </w:tabs>
        <w:ind w:left="567" w:hanging="567"/>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8E80CA2"/>
    <w:multiLevelType w:val="hybridMultilevel"/>
    <w:tmpl w:val="8F4A84A8"/>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81655F7"/>
    <w:multiLevelType w:val="hybridMultilevel"/>
    <w:tmpl w:val="39501B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8420688"/>
    <w:multiLevelType w:val="hybridMultilevel"/>
    <w:tmpl w:val="9EBE5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8CC1F48"/>
    <w:multiLevelType w:val="hybridMultilevel"/>
    <w:tmpl w:val="8626E654"/>
    <w:lvl w:ilvl="0" w:tplc="00010409">
      <w:start w:val="1"/>
      <w:numFmt w:val="bullet"/>
      <w:lvlText w:val=""/>
      <w:lvlJc w:val="left"/>
      <w:pPr>
        <w:ind w:left="-1058" w:hanging="360"/>
      </w:pPr>
      <w:rPr>
        <w:rFonts w:ascii="Symbol" w:hAnsi="Symbol" w:hint="default"/>
      </w:rPr>
    </w:lvl>
    <w:lvl w:ilvl="1" w:tplc="00030809">
      <w:start w:val="1"/>
      <w:numFmt w:val="bullet"/>
      <w:lvlText w:val="o"/>
      <w:lvlJc w:val="left"/>
      <w:pPr>
        <w:tabs>
          <w:tab w:val="num" w:pos="22"/>
        </w:tabs>
        <w:ind w:left="22" w:hanging="360"/>
      </w:pPr>
      <w:rPr>
        <w:rFonts w:ascii="Courier New" w:hAnsi="Courier New" w:hint="default"/>
      </w:rPr>
    </w:lvl>
    <w:lvl w:ilvl="2" w:tplc="00050809">
      <w:start w:val="1"/>
      <w:numFmt w:val="bullet"/>
      <w:lvlText w:val=""/>
      <w:lvlJc w:val="left"/>
      <w:pPr>
        <w:tabs>
          <w:tab w:val="num" w:pos="742"/>
        </w:tabs>
        <w:ind w:left="742" w:hanging="360"/>
      </w:pPr>
      <w:rPr>
        <w:rFonts w:ascii="Wingdings" w:hAnsi="Wingdings" w:hint="default"/>
      </w:rPr>
    </w:lvl>
    <w:lvl w:ilvl="3" w:tplc="00010809">
      <w:start w:val="1"/>
      <w:numFmt w:val="bullet"/>
      <w:lvlText w:val=""/>
      <w:lvlJc w:val="left"/>
      <w:pPr>
        <w:tabs>
          <w:tab w:val="num" w:pos="1462"/>
        </w:tabs>
        <w:ind w:left="1462" w:hanging="360"/>
      </w:pPr>
      <w:rPr>
        <w:rFonts w:ascii="Symbol" w:hAnsi="Symbol" w:hint="default"/>
      </w:rPr>
    </w:lvl>
    <w:lvl w:ilvl="4" w:tplc="00030809">
      <w:start w:val="1"/>
      <w:numFmt w:val="bullet"/>
      <w:lvlText w:val="o"/>
      <w:lvlJc w:val="left"/>
      <w:pPr>
        <w:tabs>
          <w:tab w:val="num" w:pos="2182"/>
        </w:tabs>
        <w:ind w:left="2182" w:hanging="360"/>
      </w:pPr>
      <w:rPr>
        <w:rFonts w:ascii="Courier New" w:hAnsi="Courier New" w:hint="default"/>
      </w:rPr>
    </w:lvl>
    <w:lvl w:ilvl="5" w:tplc="00050809">
      <w:start w:val="1"/>
      <w:numFmt w:val="bullet"/>
      <w:lvlText w:val=""/>
      <w:lvlJc w:val="left"/>
      <w:pPr>
        <w:tabs>
          <w:tab w:val="num" w:pos="2902"/>
        </w:tabs>
        <w:ind w:left="2902" w:hanging="360"/>
      </w:pPr>
      <w:rPr>
        <w:rFonts w:ascii="Wingdings" w:hAnsi="Wingdings" w:hint="default"/>
      </w:rPr>
    </w:lvl>
    <w:lvl w:ilvl="6" w:tplc="00010809">
      <w:start w:val="1"/>
      <w:numFmt w:val="bullet"/>
      <w:lvlText w:val=""/>
      <w:lvlJc w:val="left"/>
      <w:pPr>
        <w:tabs>
          <w:tab w:val="num" w:pos="3622"/>
        </w:tabs>
        <w:ind w:left="3622" w:hanging="360"/>
      </w:pPr>
      <w:rPr>
        <w:rFonts w:ascii="Symbol" w:hAnsi="Symbol" w:hint="default"/>
      </w:rPr>
    </w:lvl>
    <w:lvl w:ilvl="7" w:tplc="00030809">
      <w:start w:val="1"/>
      <w:numFmt w:val="bullet"/>
      <w:lvlText w:val="o"/>
      <w:lvlJc w:val="left"/>
      <w:pPr>
        <w:tabs>
          <w:tab w:val="num" w:pos="4342"/>
        </w:tabs>
        <w:ind w:left="4342" w:hanging="360"/>
      </w:pPr>
      <w:rPr>
        <w:rFonts w:ascii="Courier New" w:hAnsi="Courier New" w:hint="default"/>
      </w:rPr>
    </w:lvl>
    <w:lvl w:ilvl="8" w:tplc="00050809">
      <w:start w:val="1"/>
      <w:numFmt w:val="bullet"/>
      <w:lvlText w:val=""/>
      <w:lvlJc w:val="left"/>
      <w:pPr>
        <w:tabs>
          <w:tab w:val="num" w:pos="5062"/>
        </w:tabs>
        <w:ind w:left="5062" w:hanging="360"/>
      </w:pPr>
      <w:rPr>
        <w:rFonts w:ascii="Wingdings" w:hAnsi="Wingdings" w:hint="default"/>
      </w:rPr>
    </w:lvl>
  </w:abstractNum>
  <w:abstractNum w:abstractNumId="12">
    <w:nsid w:val="3EB56AF6"/>
    <w:multiLevelType w:val="hybridMultilevel"/>
    <w:tmpl w:val="5C14F5AA"/>
    <w:lvl w:ilvl="0" w:tplc="0809000F">
      <w:start w:val="1"/>
      <w:numFmt w:val="decimal"/>
      <w:lvlText w:val="%1."/>
      <w:lvlJc w:val="left"/>
      <w:pPr>
        <w:tabs>
          <w:tab w:val="num" w:pos="3240"/>
        </w:tabs>
        <w:ind w:left="3240" w:hanging="360"/>
      </w:p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3">
    <w:nsid w:val="41A1733C"/>
    <w:multiLevelType w:val="hybridMultilevel"/>
    <w:tmpl w:val="41164576"/>
    <w:lvl w:ilvl="0" w:tplc="98B28E0A">
      <w:start w:val="1"/>
      <w:numFmt w:val="bullet"/>
      <w:lvlText w:val=""/>
      <w:lvlJc w:val="left"/>
      <w:pPr>
        <w:tabs>
          <w:tab w:val="num" w:pos="720"/>
        </w:tabs>
        <w:ind w:left="720" w:hanging="360"/>
      </w:pPr>
      <w:rPr>
        <w:rFonts w:ascii="Symbol" w:hAnsi="Symbol" w:hint="default"/>
        <w:color w:val="auto"/>
      </w:rPr>
    </w:lvl>
    <w:lvl w:ilvl="1" w:tplc="98B28E0A">
      <w:start w:val="1"/>
      <w:numFmt w:val="bullet"/>
      <w:lvlText w:val=""/>
      <w:lvlJc w:val="left"/>
      <w:pPr>
        <w:tabs>
          <w:tab w:val="num" w:pos="4320"/>
        </w:tabs>
        <w:ind w:left="4320" w:hanging="360"/>
      </w:pPr>
      <w:rPr>
        <w:rFonts w:ascii="Symbol" w:hAnsi="Symbol" w:hint="default"/>
        <w:color w:val="auto"/>
      </w:r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79E0E75"/>
    <w:multiLevelType w:val="hybridMultilevel"/>
    <w:tmpl w:val="B7CA71F2"/>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7">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0A318AC"/>
    <w:multiLevelType w:val="hybridMultilevel"/>
    <w:tmpl w:val="6A164E38"/>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AC67869"/>
    <w:multiLevelType w:val="hybridMultilevel"/>
    <w:tmpl w:val="701C7C00"/>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3"/>
  </w:num>
  <w:num w:numId="6">
    <w:abstractNumId w:val="16"/>
  </w:num>
  <w:num w:numId="7">
    <w:abstractNumId w:val="11"/>
  </w:num>
  <w:num w:numId="8">
    <w:abstractNumId w:val="9"/>
  </w:num>
  <w:num w:numId="9">
    <w:abstractNumId w:val="4"/>
  </w:num>
  <w:num w:numId="10">
    <w:abstractNumId w:val="19"/>
  </w:num>
  <w:num w:numId="11">
    <w:abstractNumId w:val="10"/>
  </w:num>
  <w:num w:numId="12">
    <w:abstractNumId w:val="2"/>
  </w:num>
  <w:num w:numId="13">
    <w:abstractNumId w:val="12"/>
  </w:num>
  <w:num w:numId="14">
    <w:abstractNumId w:val="0"/>
  </w:num>
  <w:num w:numId="15">
    <w:abstractNumId w:val="13"/>
  </w:num>
  <w:num w:numId="16">
    <w:abstractNumId w:val="8"/>
  </w:num>
  <w:num w:numId="17">
    <w:abstractNumId w:val="18"/>
  </w:num>
  <w:num w:numId="18">
    <w:abstractNumId w:val="17"/>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F39FA"/>
    <w:rsid w:val="00206424"/>
    <w:rsid w:val="00661226"/>
    <w:rsid w:val="00AD2285"/>
    <w:rsid w:val="00B14BFD"/>
    <w:rsid w:val="00CD7F92"/>
    <w:rsid w:val="00DA4379"/>
    <w:rsid w:val="00E56865"/>
    <w:rsid w:val="00EB37BF"/>
    <w:rsid w:val="00F8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EE5B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44F1C"/>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sid w:val="00931A22"/>
    <w:rPr>
      <w:rFonts w:ascii="Arial" w:hAnsi="Arial"/>
      <w:b/>
      <w:kern w:val="32"/>
      <w:sz w:val="32"/>
      <w:szCs w:val="32"/>
      <w:lang w:val="en-US" w:eastAsia="en-US"/>
    </w:rPr>
  </w:style>
  <w:style w:type="character" w:customStyle="1" w:styleId="Heading2Char">
    <w:name w:val="Heading 2 Char"/>
    <w:rPr>
      <w:rFonts w:ascii="Cambria" w:hAnsi="Cambria"/>
      <w:b/>
      <w:i/>
      <w:sz w:val="28"/>
      <w:szCs w:val="28"/>
      <w:lang w:val="en-GB" w:eastAsia="en-GB"/>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1"/>
    <w:rsid w:val="00931A22"/>
    <w:pPr>
      <w:tabs>
        <w:tab w:val="center" w:pos="4320"/>
        <w:tab w:val="right" w:pos="8640"/>
      </w:tabs>
    </w:pPr>
  </w:style>
  <w:style w:type="character" w:customStyle="1" w:styleId="HeaderChar">
    <w:name w:val="Header Char"/>
    <w:rPr>
      <w:rFonts w:ascii="Verdana" w:hAnsi="Verdana"/>
      <w:sz w:val="24"/>
      <w:szCs w:val="24"/>
      <w:lang w:val="en-GB" w:eastAsia="en-GB"/>
    </w:rPr>
  </w:style>
  <w:style w:type="paragraph" w:styleId="Footer">
    <w:name w:val="footer"/>
    <w:basedOn w:val="Normal"/>
    <w:link w:val="FooterChar1"/>
    <w:rsid w:val="00931A22"/>
    <w:pPr>
      <w:tabs>
        <w:tab w:val="center" w:pos="4320"/>
        <w:tab w:val="right" w:pos="8640"/>
      </w:tabs>
    </w:pPr>
  </w:style>
  <w:style w:type="character" w:customStyle="1" w:styleId="FooterChar">
    <w:name w:val="Footer Char"/>
    <w:rPr>
      <w:rFonts w:ascii="Verdana" w:hAnsi="Verdana"/>
      <w:sz w:val="24"/>
      <w:szCs w:val="24"/>
      <w:lang w:val="en-GB" w:eastAsia="en-GB"/>
    </w:rPr>
  </w:style>
  <w:style w:type="character" w:styleId="FollowedHyperlink">
    <w:name w:val="FollowedHyperlink"/>
    <w:rsid w:val="00244F1C"/>
    <w:rPr>
      <w:color w:val="800080"/>
      <w:u w:val="single"/>
    </w:rPr>
  </w:style>
  <w:style w:type="paragraph" w:styleId="ListParagraph">
    <w:name w:val="List Paragraph"/>
    <w:basedOn w:val="Normal"/>
    <w:qFormat/>
    <w:rsid w:val="00244F1C"/>
    <w:pPr>
      <w:ind w:left="720"/>
    </w:pPr>
    <w:rPr>
      <w:rFonts w:ascii="Cambria" w:hAnsi="Cambria"/>
      <w:sz w:val="24"/>
      <w:szCs w:val="24"/>
      <w:lang w:val="en-AU" w:eastAsia="en-US"/>
    </w:rPr>
  </w:style>
  <w:style w:type="character" w:styleId="CommentReference">
    <w:name w:val="annotation reference"/>
    <w:semiHidden/>
    <w:rsid w:val="004B3826"/>
    <w:rPr>
      <w:sz w:val="18"/>
      <w:szCs w:val="18"/>
    </w:rPr>
  </w:style>
  <w:style w:type="paragraph" w:styleId="CommentText">
    <w:name w:val="annotation text"/>
    <w:basedOn w:val="Normal"/>
    <w:semiHidden/>
    <w:rsid w:val="004B3826"/>
    <w:rPr>
      <w:sz w:val="24"/>
      <w:szCs w:val="24"/>
    </w:rPr>
  </w:style>
  <w:style w:type="character" w:customStyle="1" w:styleId="CommentTextChar">
    <w:name w:val="Comment Text Char"/>
    <w:rsid w:val="004B3826"/>
    <w:rPr>
      <w:rFonts w:ascii="Verdana" w:hAnsi="Verdana"/>
      <w:sz w:val="24"/>
      <w:szCs w:val="24"/>
      <w:lang w:val="en-GB" w:eastAsia="en-GB"/>
    </w:rPr>
  </w:style>
  <w:style w:type="paragraph" w:styleId="CommentSubject">
    <w:name w:val="annotation subject"/>
    <w:basedOn w:val="CommentText"/>
    <w:next w:val="CommentText"/>
    <w:semiHidden/>
    <w:rsid w:val="004B3826"/>
    <w:rPr>
      <w:b/>
      <w:sz w:val="20"/>
      <w:szCs w:val="20"/>
    </w:rPr>
  </w:style>
  <w:style w:type="character" w:customStyle="1" w:styleId="CommentSubjectChar">
    <w:name w:val="Comment Subject Char"/>
    <w:rsid w:val="004B3826"/>
    <w:rPr>
      <w:rFonts w:ascii="Verdana" w:hAnsi="Verdana"/>
      <w:b/>
      <w:sz w:val="24"/>
      <w:szCs w:val="24"/>
      <w:lang w:val="en-GB" w:eastAsia="en-GB"/>
    </w:rPr>
  </w:style>
  <w:style w:type="paragraph" w:styleId="BalloonText">
    <w:name w:val="Balloon Text"/>
    <w:basedOn w:val="Normal"/>
    <w:semiHidden/>
    <w:rsid w:val="004B3826"/>
    <w:rPr>
      <w:rFonts w:ascii="Lucida Grande" w:hAnsi="Lucida Grande"/>
      <w:sz w:val="18"/>
      <w:szCs w:val="18"/>
    </w:rPr>
  </w:style>
  <w:style w:type="character" w:customStyle="1" w:styleId="BalloonTextChar">
    <w:name w:val="Balloon Text Char"/>
    <w:rsid w:val="004B3826"/>
    <w:rPr>
      <w:rFonts w:ascii="Lucida Grande" w:hAnsi="Lucida Grande"/>
      <w:sz w:val="18"/>
      <w:szCs w:val="18"/>
      <w:lang w:val="en-GB" w:eastAsia="en-GB"/>
    </w:rPr>
  </w:style>
  <w:style w:type="character" w:customStyle="1" w:styleId="HeaderChar1">
    <w:name w:val="Header Char1"/>
    <w:link w:val="Header"/>
    <w:rsid w:val="001F39FA"/>
    <w:rPr>
      <w:rFonts w:ascii="Verdana" w:hAnsi="Verdana"/>
      <w:lang w:val="en-GB" w:eastAsia="en-GB" w:bidi="ar-SA"/>
    </w:rPr>
  </w:style>
  <w:style w:type="character" w:customStyle="1" w:styleId="FooterChar1">
    <w:name w:val="Footer Char1"/>
    <w:link w:val="Footer"/>
    <w:rsid w:val="001F39FA"/>
    <w:rPr>
      <w:rFonts w:ascii="Verdana" w:hAnsi="Verdana"/>
      <w:lang w:val="en-GB" w:eastAsia="en-GB" w:bidi="ar-SA"/>
    </w:rPr>
  </w:style>
  <w:style w:type="character" w:styleId="PageNumber">
    <w:name w:val="page number"/>
    <w:basedOn w:val="DefaultParagraphFont"/>
    <w:rsid w:val="001F39FA"/>
  </w:style>
  <w:style w:type="character" w:customStyle="1" w:styleId="FooterChar2">
    <w:name w:val="Footer Char2"/>
    <w:locked/>
    <w:rsid w:val="00F85E8D"/>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4515</Characters>
  <Application>Microsoft Macintosh Word</Application>
  <DocSecurity>0</DocSecurity>
  <Lines>118</Lines>
  <Paragraphs>48</Paragraphs>
  <ScaleCrop>false</ScaleCrop>
  <HeadingPairs>
    <vt:vector size="2" baseType="variant">
      <vt:variant>
        <vt:lpstr>Title</vt:lpstr>
      </vt:variant>
      <vt:variant>
        <vt:i4>1</vt:i4>
      </vt:variant>
    </vt:vector>
  </HeadingPairs>
  <TitlesOfParts>
    <vt:vector size="1" baseType="lpstr">
      <vt:lpstr>Making a core sample</vt:lpstr>
    </vt:vector>
  </TitlesOfParts>
  <Manager/>
  <Company/>
  <LinksUpToDate>false</LinksUpToDate>
  <CharactersWithSpaces>5472</CharactersWithSpaces>
  <SharedDoc>false</SharedDoc>
  <HyperlinkBase/>
  <HLinks>
    <vt:vector size="36" baseType="variant">
      <vt:variant>
        <vt:i4>65656</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2424863</vt:i4>
      </vt:variant>
      <vt:variant>
        <vt:i4>3</vt:i4>
      </vt:variant>
      <vt:variant>
        <vt:i4>0</vt:i4>
      </vt:variant>
      <vt:variant>
        <vt:i4>5</vt:i4>
      </vt:variant>
      <vt:variant>
        <vt:lpwstr>http://www.sciencelearn.org.nz/</vt:lpwstr>
      </vt:variant>
      <vt:variant>
        <vt:lpwstr/>
      </vt:variant>
      <vt:variant>
        <vt:i4>4718615</vt:i4>
      </vt:variant>
      <vt:variant>
        <vt:i4>-1</vt:i4>
      </vt:variant>
      <vt:variant>
        <vt:i4>2049</vt:i4>
      </vt:variant>
      <vt:variant>
        <vt:i4>1</vt:i4>
      </vt:variant>
      <vt:variant>
        <vt:lpwstr>sciencelearn-document-header-logo-v2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core sample</dc:title>
  <dc:subject/>
  <dc:creator>Science Learning Hub, University of Waikato</dc:creator>
  <cp:keywords/>
  <dc:description/>
  <cp:lastModifiedBy>Science Learning Hub - University of Waikato</cp:lastModifiedBy>
  <cp:revision>2</cp:revision>
  <dcterms:created xsi:type="dcterms:W3CDTF">2017-04-03T04:33:00Z</dcterms:created>
  <dcterms:modified xsi:type="dcterms:W3CDTF">2017-04-03T04:33:00Z</dcterms:modified>
  <cp:category/>
</cp:coreProperties>
</file>