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1A9CA" w14:textId="77777777" w:rsidR="00915758" w:rsidRDefault="00915758" w:rsidP="00915758">
      <w:pPr>
        <w:rPr>
          <w:rFonts w:cs="Arial"/>
          <w:sz w:val="16"/>
        </w:rPr>
      </w:pPr>
    </w:p>
    <w:p w14:paraId="2DDB9FDF" w14:textId="77777777" w:rsidR="00915758" w:rsidRDefault="00915758" w:rsidP="00915758"/>
    <w:p w14:paraId="5D9100A8" w14:textId="77777777" w:rsidR="00915758" w:rsidRDefault="00915758" w:rsidP="00915758">
      <w:pPr>
        <w:ind w:left="416"/>
        <w:contextualSpacing/>
        <w:jc w:val="center"/>
        <w:rPr>
          <w:b/>
        </w:rPr>
      </w:pPr>
      <w:r w:rsidRPr="004D2722">
        <w:rPr>
          <w:b/>
          <w:sz w:val="24"/>
        </w:rPr>
        <w:t xml:space="preserve">Index – </w:t>
      </w:r>
      <w:r w:rsidRPr="00D82707">
        <w:rPr>
          <w:b/>
          <w:sz w:val="24"/>
        </w:rPr>
        <w:t>SLH PD Soil activities and the science capabilities</w:t>
      </w:r>
      <w:r>
        <w:rPr>
          <w:b/>
          <w:sz w:val="24"/>
        </w:rPr>
        <w:t xml:space="preserve"> </w:t>
      </w:r>
    </w:p>
    <w:p w14:paraId="1ED31449" w14:textId="77777777" w:rsidR="00915758" w:rsidRDefault="00915758" w:rsidP="00915758">
      <w:pPr>
        <w:ind w:left="416"/>
        <w:contextualSpacing/>
        <w:jc w:val="center"/>
        <w:rPr>
          <w:b/>
          <w:sz w:val="24"/>
        </w:rPr>
      </w:pPr>
    </w:p>
    <w:p w14:paraId="22BDF389" w14:textId="77777777" w:rsidR="00915758" w:rsidRPr="00DB2B7A" w:rsidRDefault="00915758" w:rsidP="00915758">
      <w:pPr>
        <w:ind w:left="416"/>
        <w:contextualSpacing/>
        <w:jc w:val="center"/>
        <w:rPr>
          <w:b/>
          <w:sz w:val="24"/>
        </w:rPr>
      </w:pPr>
    </w:p>
    <w:p w14:paraId="6C349F64" w14:textId="77777777" w:rsidR="00915758" w:rsidRDefault="00915758" w:rsidP="00915758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826"/>
        <w:gridCol w:w="2396"/>
        <w:gridCol w:w="1417"/>
      </w:tblGrid>
      <w:tr w:rsidR="00915758" w:rsidRPr="00750E66" w14:paraId="67A7A98F" w14:textId="77777777" w:rsidTr="00750E66">
        <w:trPr>
          <w:trHeight w:val="877"/>
        </w:trPr>
        <w:tc>
          <w:tcPr>
            <w:tcW w:w="5826" w:type="dxa"/>
            <w:hideMark/>
          </w:tcPr>
          <w:p w14:paraId="39D3AA40" w14:textId="77777777" w:rsidR="00915758" w:rsidRDefault="00915758" w:rsidP="00750E66">
            <w:pPr>
              <w:spacing w:after="120" w:line="360" w:lineRule="auto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396" w:type="dxa"/>
            <w:hideMark/>
          </w:tcPr>
          <w:p w14:paraId="08373AE3" w14:textId="77777777" w:rsidR="00915758" w:rsidRDefault="00915758" w:rsidP="00750E66">
            <w:pPr>
              <w:spacing w:after="120" w:line="360" w:lineRule="auto"/>
              <w:jc w:val="center"/>
              <w:rPr>
                <w:b/>
              </w:rPr>
            </w:pPr>
            <w:r>
              <w:rPr>
                <w:b/>
              </w:rPr>
              <w:t>PowerPoint slide number(s)</w:t>
            </w:r>
          </w:p>
        </w:tc>
        <w:tc>
          <w:tcPr>
            <w:tcW w:w="1417" w:type="dxa"/>
            <w:hideMark/>
          </w:tcPr>
          <w:p w14:paraId="49DABD94" w14:textId="77777777" w:rsidR="00915758" w:rsidRPr="00750E66" w:rsidRDefault="00915758" w:rsidP="00750E66">
            <w:pPr>
              <w:spacing w:after="120" w:line="360" w:lineRule="auto"/>
              <w:jc w:val="center"/>
              <w:rPr>
                <w:b/>
                <w:szCs w:val="20"/>
              </w:rPr>
            </w:pPr>
            <w:r w:rsidRPr="00750E66">
              <w:rPr>
                <w:b/>
                <w:szCs w:val="20"/>
              </w:rPr>
              <w:t xml:space="preserve">Video timecode </w:t>
            </w:r>
          </w:p>
        </w:tc>
      </w:tr>
      <w:tr w:rsidR="00915758" w:rsidRPr="00750E66" w14:paraId="321AC58E" w14:textId="77777777" w:rsidTr="00750E66">
        <w:trPr>
          <w:trHeight w:val="283"/>
        </w:trPr>
        <w:tc>
          <w:tcPr>
            <w:tcW w:w="5826" w:type="dxa"/>
          </w:tcPr>
          <w:p w14:paraId="2620C824" w14:textId="77777777" w:rsidR="00915758" w:rsidRPr="00CF7A49" w:rsidRDefault="00915758" w:rsidP="00750E66">
            <w:pPr>
              <w:pStyle w:val="paragraph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Introducing the Science Learning Hub and presenters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</w:tc>
        <w:tc>
          <w:tcPr>
            <w:tcW w:w="2396" w:type="dxa"/>
          </w:tcPr>
          <w:p w14:paraId="52AAC3DA" w14:textId="77777777" w:rsidR="00915758" w:rsidRPr="00556846" w:rsidRDefault="00915758" w:rsidP="00750E66">
            <w:pPr>
              <w:pStyle w:val="paragraph"/>
              <w:jc w:val="right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1–4</w:t>
            </w:r>
          </w:p>
        </w:tc>
        <w:tc>
          <w:tcPr>
            <w:tcW w:w="1417" w:type="dxa"/>
          </w:tcPr>
          <w:p w14:paraId="7C285390" w14:textId="77777777" w:rsidR="00915758" w:rsidRPr="00750E66" w:rsidRDefault="00750E66" w:rsidP="00750E66">
            <w:pPr>
              <w:pStyle w:val="paragraph"/>
              <w:jc w:val="right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00:00</w:t>
            </w:r>
          </w:p>
        </w:tc>
      </w:tr>
      <w:tr w:rsidR="00915758" w:rsidRPr="00750E66" w14:paraId="57968D1C" w14:textId="77777777" w:rsidTr="00750E66">
        <w:trPr>
          <w:trHeight w:val="283"/>
        </w:trPr>
        <w:tc>
          <w:tcPr>
            <w:tcW w:w="5826" w:type="dxa"/>
          </w:tcPr>
          <w:p w14:paraId="4819B75F" w14:textId="77777777" w:rsidR="00915758" w:rsidRPr="00156F5D" w:rsidRDefault="00750E66" w:rsidP="00750E66">
            <w:pPr>
              <w:pStyle w:val="paragraph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Style w:val="eop"/>
                <w:rFonts w:ascii="Verdana" w:hAnsi="Verdana" w:cs="Segoe UI"/>
                <w:sz w:val="20"/>
                <w:szCs w:val="20"/>
              </w:rPr>
              <w:t>0</w:t>
            </w:r>
            <w:r w:rsidR="00915758">
              <w:rPr>
                <w:rStyle w:val="eop"/>
                <w:rFonts w:ascii="Verdana" w:hAnsi="Verdana" w:cs="Segoe UI"/>
                <w:sz w:val="20"/>
                <w:szCs w:val="20"/>
              </w:rPr>
              <w:t>Primary Science Week</w:t>
            </w:r>
          </w:p>
        </w:tc>
        <w:tc>
          <w:tcPr>
            <w:tcW w:w="2396" w:type="dxa"/>
          </w:tcPr>
          <w:p w14:paraId="1D9C88BD" w14:textId="77777777" w:rsidR="00915758" w:rsidRDefault="00915758" w:rsidP="00750E66">
            <w:pPr>
              <w:pStyle w:val="paragraph"/>
              <w:jc w:val="right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5–7</w:t>
            </w:r>
          </w:p>
        </w:tc>
        <w:tc>
          <w:tcPr>
            <w:tcW w:w="1417" w:type="dxa"/>
          </w:tcPr>
          <w:p w14:paraId="19366A3E" w14:textId="77777777" w:rsidR="00915758" w:rsidRPr="00750E66" w:rsidRDefault="005D3FC6" w:rsidP="00750E66">
            <w:pPr>
              <w:pStyle w:val="paragraph"/>
              <w:jc w:val="right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01:26</w:t>
            </w:r>
          </w:p>
        </w:tc>
      </w:tr>
      <w:tr w:rsidR="00915758" w:rsidRPr="00750E66" w14:paraId="37A60846" w14:textId="77777777" w:rsidTr="00750E66">
        <w:trPr>
          <w:trHeight w:val="283"/>
        </w:trPr>
        <w:tc>
          <w:tcPr>
            <w:tcW w:w="5826" w:type="dxa"/>
          </w:tcPr>
          <w:p w14:paraId="45B05B0A" w14:textId="77777777" w:rsidR="00915758" w:rsidRDefault="00915758" w:rsidP="00750E66">
            <w:pPr>
              <w:pStyle w:val="paragraph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>
              <w:rPr>
                <w:rStyle w:val="eop"/>
                <w:rFonts w:ascii="Verdana" w:hAnsi="Verdana" w:cs="Segoe UI"/>
                <w:sz w:val="20"/>
                <w:szCs w:val="20"/>
              </w:rPr>
              <w:t>Soil resources on the Science Learning Hub (SLH)</w:t>
            </w:r>
          </w:p>
        </w:tc>
        <w:tc>
          <w:tcPr>
            <w:tcW w:w="2396" w:type="dxa"/>
          </w:tcPr>
          <w:p w14:paraId="19A16FBE" w14:textId="77777777" w:rsidR="00915758" w:rsidRPr="00CF7A49" w:rsidRDefault="00915758" w:rsidP="00750E66">
            <w:pPr>
              <w:pStyle w:val="paragraph"/>
              <w:jc w:val="right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61488F15" w14:textId="77777777" w:rsidR="00915758" w:rsidRPr="00750E66" w:rsidRDefault="005D3FC6" w:rsidP="00750E66">
            <w:pPr>
              <w:pStyle w:val="paragraph"/>
              <w:jc w:val="right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03:19</w:t>
            </w:r>
          </w:p>
        </w:tc>
      </w:tr>
      <w:tr w:rsidR="00915758" w:rsidRPr="00750E66" w14:paraId="27325B0C" w14:textId="77777777" w:rsidTr="00750E66">
        <w:trPr>
          <w:trHeight w:val="283"/>
        </w:trPr>
        <w:tc>
          <w:tcPr>
            <w:tcW w:w="5826" w:type="dxa"/>
          </w:tcPr>
          <w:p w14:paraId="779831A1" w14:textId="77777777" w:rsidR="00915758" w:rsidRDefault="00915758" w:rsidP="00750E66">
            <w:pPr>
              <w:pStyle w:val="paragraph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>
              <w:rPr>
                <w:rStyle w:val="eop"/>
                <w:rFonts w:ascii="Verdana" w:hAnsi="Verdana" w:cs="Segoe UI"/>
                <w:sz w:val="20"/>
                <w:szCs w:val="20"/>
              </w:rPr>
              <w:t>The five science capabilities, links to NZC and SLH activities</w:t>
            </w:r>
          </w:p>
        </w:tc>
        <w:tc>
          <w:tcPr>
            <w:tcW w:w="2396" w:type="dxa"/>
          </w:tcPr>
          <w:p w14:paraId="24B4E347" w14:textId="77777777" w:rsidR="00915758" w:rsidRDefault="00915758" w:rsidP="00750E66">
            <w:pPr>
              <w:pStyle w:val="paragraph"/>
              <w:jc w:val="right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9–12</w:t>
            </w:r>
          </w:p>
        </w:tc>
        <w:tc>
          <w:tcPr>
            <w:tcW w:w="1417" w:type="dxa"/>
          </w:tcPr>
          <w:p w14:paraId="4A7FE2F3" w14:textId="77777777" w:rsidR="00915758" w:rsidRPr="00750E66" w:rsidRDefault="005D3FC6" w:rsidP="00750E66">
            <w:pPr>
              <w:pStyle w:val="paragraph"/>
              <w:jc w:val="right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04:23</w:t>
            </w:r>
          </w:p>
        </w:tc>
      </w:tr>
      <w:tr w:rsidR="00915758" w:rsidRPr="00750E66" w14:paraId="774EB922" w14:textId="77777777" w:rsidTr="00750E66">
        <w:trPr>
          <w:trHeight w:val="283"/>
        </w:trPr>
        <w:tc>
          <w:tcPr>
            <w:tcW w:w="5826" w:type="dxa"/>
          </w:tcPr>
          <w:p w14:paraId="51DB9BDF" w14:textId="77777777" w:rsidR="00915758" w:rsidRPr="00CF7A49" w:rsidRDefault="00915758" w:rsidP="00750E66">
            <w:pPr>
              <w:pStyle w:val="paragraph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>
              <w:rPr>
                <w:rStyle w:val="eop"/>
                <w:rFonts w:ascii="Verdana" w:hAnsi="Verdana" w:cs="Segoe UI"/>
                <w:sz w:val="20"/>
                <w:szCs w:val="20"/>
              </w:rPr>
              <w:t>Investigating soil moisture content activity and links to Gather and interpret data, Use evidence and Critique evidence</w:t>
            </w:r>
          </w:p>
        </w:tc>
        <w:tc>
          <w:tcPr>
            <w:tcW w:w="2396" w:type="dxa"/>
          </w:tcPr>
          <w:p w14:paraId="70F7A2E9" w14:textId="77777777" w:rsidR="00915758" w:rsidRPr="00CF7A49" w:rsidRDefault="00915758" w:rsidP="00750E66">
            <w:pPr>
              <w:pStyle w:val="paragraph"/>
              <w:jc w:val="right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13–28</w:t>
            </w:r>
          </w:p>
        </w:tc>
        <w:tc>
          <w:tcPr>
            <w:tcW w:w="1417" w:type="dxa"/>
          </w:tcPr>
          <w:p w14:paraId="6731A9DF" w14:textId="77777777" w:rsidR="00915758" w:rsidRPr="00750E66" w:rsidRDefault="005D3FC6" w:rsidP="00750E66">
            <w:pPr>
              <w:pStyle w:val="paragraph"/>
              <w:jc w:val="right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07:29</w:t>
            </w:r>
          </w:p>
        </w:tc>
      </w:tr>
      <w:tr w:rsidR="00915758" w:rsidRPr="00750E66" w14:paraId="6ADC22E1" w14:textId="77777777" w:rsidTr="00750E66">
        <w:trPr>
          <w:trHeight w:val="283"/>
        </w:trPr>
        <w:tc>
          <w:tcPr>
            <w:tcW w:w="5826" w:type="dxa"/>
          </w:tcPr>
          <w:p w14:paraId="2221477D" w14:textId="77777777" w:rsidR="00915758" w:rsidRPr="00CF7A49" w:rsidRDefault="00915758" w:rsidP="00750E66">
            <w:pPr>
              <w:pStyle w:val="paragraph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>
              <w:rPr>
                <w:rStyle w:val="eop"/>
                <w:rFonts w:ascii="Verdana" w:hAnsi="Verdana" w:cs="Segoe UI"/>
                <w:sz w:val="20"/>
                <w:szCs w:val="20"/>
              </w:rPr>
              <w:t>Using soil moisture maps activity and links to Interpret representations and Engage with science</w:t>
            </w:r>
          </w:p>
        </w:tc>
        <w:tc>
          <w:tcPr>
            <w:tcW w:w="2396" w:type="dxa"/>
          </w:tcPr>
          <w:p w14:paraId="71C03CE1" w14:textId="77777777" w:rsidR="00915758" w:rsidRPr="00CF7A49" w:rsidRDefault="00915758" w:rsidP="00750E66">
            <w:pPr>
              <w:pStyle w:val="paragraph"/>
              <w:jc w:val="right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29–39</w:t>
            </w:r>
          </w:p>
        </w:tc>
        <w:tc>
          <w:tcPr>
            <w:tcW w:w="1417" w:type="dxa"/>
          </w:tcPr>
          <w:p w14:paraId="76EC85F6" w14:textId="77777777" w:rsidR="00915758" w:rsidRPr="00750E66" w:rsidRDefault="005D3FC6" w:rsidP="00750E66">
            <w:pPr>
              <w:pStyle w:val="paragraph"/>
              <w:jc w:val="right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25:31</w:t>
            </w:r>
          </w:p>
        </w:tc>
      </w:tr>
      <w:tr w:rsidR="00915758" w:rsidRPr="00750E66" w14:paraId="27A28E6D" w14:textId="77777777" w:rsidTr="00750E66">
        <w:trPr>
          <w:trHeight w:val="70"/>
        </w:trPr>
        <w:tc>
          <w:tcPr>
            <w:tcW w:w="5826" w:type="dxa"/>
          </w:tcPr>
          <w:p w14:paraId="1A32FCF7" w14:textId="77777777" w:rsidR="00915758" w:rsidRPr="00CF7A49" w:rsidRDefault="00915758" w:rsidP="00750E66">
            <w:pPr>
              <w:pStyle w:val="paragraph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Style w:val="eop"/>
                <w:rFonts w:ascii="Verdana" w:hAnsi="Verdana" w:cs="Segoe UI"/>
                <w:sz w:val="20"/>
                <w:szCs w:val="20"/>
              </w:rPr>
              <w:t>Science capabilities resources on TKI</w:t>
            </w:r>
          </w:p>
        </w:tc>
        <w:tc>
          <w:tcPr>
            <w:tcW w:w="2396" w:type="dxa"/>
          </w:tcPr>
          <w:p w14:paraId="311F4083" w14:textId="77777777" w:rsidR="00915758" w:rsidRPr="00CF7A49" w:rsidRDefault="00915758" w:rsidP="00750E66">
            <w:pPr>
              <w:pStyle w:val="paragraph"/>
              <w:jc w:val="right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14:paraId="16FA9E96" w14:textId="77777777" w:rsidR="00915758" w:rsidRPr="00750E66" w:rsidRDefault="005D3FC6" w:rsidP="00750E66">
            <w:pPr>
              <w:pStyle w:val="paragraph"/>
              <w:jc w:val="right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36:25</w:t>
            </w:r>
          </w:p>
        </w:tc>
      </w:tr>
      <w:tr w:rsidR="00915758" w:rsidRPr="00750E66" w14:paraId="3619A2DD" w14:textId="77777777" w:rsidTr="00750E66">
        <w:trPr>
          <w:trHeight w:val="164"/>
        </w:trPr>
        <w:tc>
          <w:tcPr>
            <w:tcW w:w="5826" w:type="dxa"/>
          </w:tcPr>
          <w:p w14:paraId="223EAC56" w14:textId="77777777" w:rsidR="00915758" w:rsidRPr="00CF7A49" w:rsidRDefault="00915758" w:rsidP="00750E66">
            <w:pPr>
              <w:pStyle w:val="paragraph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Style w:val="eop"/>
                <w:rFonts w:ascii="Verdana" w:hAnsi="Verdana" w:cs="Segoe UI"/>
                <w:sz w:val="20"/>
                <w:szCs w:val="20"/>
              </w:rPr>
              <w:t>Nature of Science resources on SLH</w:t>
            </w:r>
          </w:p>
        </w:tc>
        <w:tc>
          <w:tcPr>
            <w:tcW w:w="2396" w:type="dxa"/>
          </w:tcPr>
          <w:p w14:paraId="596636AF" w14:textId="77777777" w:rsidR="00915758" w:rsidRPr="00CF7A49" w:rsidRDefault="00915758" w:rsidP="00750E66">
            <w:pPr>
              <w:pStyle w:val="paragraph"/>
              <w:jc w:val="right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41</w:t>
            </w:r>
          </w:p>
        </w:tc>
        <w:tc>
          <w:tcPr>
            <w:tcW w:w="1417" w:type="dxa"/>
          </w:tcPr>
          <w:p w14:paraId="414CB070" w14:textId="77777777" w:rsidR="00915758" w:rsidRPr="00750E66" w:rsidRDefault="005D3FC6" w:rsidP="00750E66">
            <w:pPr>
              <w:pStyle w:val="paragraph"/>
              <w:jc w:val="right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36:43</w:t>
            </w:r>
          </w:p>
        </w:tc>
      </w:tr>
      <w:tr w:rsidR="00915758" w:rsidRPr="00750E66" w14:paraId="7680A65A" w14:textId="77777777" w:rsidTr="00750E66">
        <w:trPr>
          <w:trHeight w:val="283"/>
        </w:trPr>
        <w:tc>
          <w:tcPr>
            <w:tcW w:w="5826" w:type="dxa"/>
          </w:tcPr>
          <w:p w14:paraId="1089BA86" w14:textId="77777777" w:rsidR="00915758" w:rsidRPr="00CF7A49" w:rsidRDefault="00915758" w:rsidP="00750E66">
            <w:pPr>
              <w:pStyle w:val="paragraph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556846">
              <w:rPr>
                <w:rStyle w:val="eop"/>
                <w:rFonts w:ascii="Verdana" w:hAnsi="Verdana" w:cs="Segoe UI"/>
                <w:sz w:val="20"/>
                <w:szCs w:val="20"/>
              </w:rPr>
              <w:t>Order promotional material, SLH links, thanks</w:t>
            </w:r>
          </w:p>
        </w:tc>
        <w:tc>
          <w:tcPr>
            <w:tcW w:w="2396" w:type="dxa"/>
          </w:tcPr>
          <w:p w14:paraId="0EC5700A" w14:textId="77777777" w:rsidR="00915758" w:rsidRPr="00CF7A49" w:rsidRDefault="00915758" w:rsidP="00750E66">
            <w:pPr>
              <w:pStyle w:val="paragraph"/>
              <w:jc w:val="right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42–43</w:t>
            </w:r>
          </w:p>
        </w:tc>
        <w:tc>
          <w:tcPr>
            <w:tcW w:w="1417" w:type="dxa"/>
          </w:tcPr>
          <w:p w14:paraId="4767DC71" w14:textId="77777777" w:rsidR="00915758" w:rsidRPr="00750E66" w:rsidRDefault="008366B1" w:rsidP="00750E66">
            <w:pPr>
              <w:pStyle w:val="paragraph"/>
              <w:jc w:val="right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37:02</w:t>
            </w:r>
            <w:bookmarkStart w:id="0" w:name="_GoBack"/>
            <w:bookmarkEnd w:id="0"/>
          </w:p>
        </w:tc>
      </w:tr>
    </w:tbl>
    <w:p w14:paraId="407AB997" w14:textId="77777777" w:rsidR="00915758" w:rsidRDefault="00915758" w:rsidP="00915758"/>
    <w:p w14:paraId="3F2EA91A" w14:textId="77777777" w:rsidR="00915758" w:rsidRDefault="00915758" w:rsidP="00915758"/>
    <w:p w14:paraId="7C1A1CB7" w14:textId="77777777" w:rsidR="00A3778D" w:rsidRDefault="00A3778D"/>
    <w:sectPr w:rsidR="00A3778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7133E" w14:textId="77777777" w:rsidR="005D3FC6" w:rsidRDefault="005D3FC6" w:rsidP="00915758">
      <w:r>
        <w:separator/>
      </w:r>
    </w:p>
  </w:endnote>
  <w:endnote w:type="continuationSeparator" w:id="0">
    <w:p w14:paraId="19FEB812" w14:textId="77777777" w:rsidR="005D3FC6" w:rsidRDefault="005D3FC6" w:rsidP="0091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Times New Roman Bold"/>
    <w:charset w:val="00"/>
    <w:family w:val="swiss"/>
    <w:pitch w:val="variable"/>
    <w:sig w:usb0="E10022FF" w:usb1="C000E47F" w:usb2="00000029" w:usb3="00000000" w:csb0="000001D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01EF0" w14:textId="77777777" w:rsidR="005D3FC6" w:rsidRPr="0007046E" w:rsidRDefault="005D3FC6" w:rsidP="00915758">
    <w:pPr>
      <w:pStyle w:val="Header"/>
      <w:rPr>
        <w:rFonts w:cs="Arial"/>
        <w:color w:val="3366FF"/>
      </w:rPr>
    </w:pPr>
    <w:r w:rsidRPr="0007046E">
      <w:rPr>
        <w:rFonts w:cs="Arial"/>
        <w:color w:val="3366FF"/>
      </w:rPr>
      <w:t>© Copyright. Science Learning Hub, The University of Waikato.</w:t>
    </w:r>
  </w:p>
  <w:p w14:paraId="38AFCC3B" w14:textId="77777777" w:rsidR="005D3FC6" w:rsidRDefault="005D3FC6" w:rsidP="00915758">
    <w:pPr>
      <w:pStyle w:val="Footer"/>
      <w:ind w:right="360"/>
    </w:pPr>
    <w:hyperlink r:id="rId1" w:history="1">
      <w:r w:rsidRPr="00AD3E1B">
        <w:rPr>
          <w:rStyle w:val="Hyperlink"/>
        </w:rPr>
        <w:t>https://sciencelearn.org.nz</w:t>
      </w:r>
    </w:hyperlink>
    <w:r>
      <w:rPr>
        <w:color w:val="000000"/>
      </w:rPr>
      <w:t xml:space="preserve"> </w:t>
    </w:r>
  </w:p>
  <w:p w14:paraId="4B3AD4C4" w14:textId="77777777" w:rsidR="005D3FC6" w:rsidRDefault="005D3FC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C8342" w14:textId="77777777" w:rsidR="005D3FC6" w:rsidRDefault="005D3FC6" w:rsidP="00915758">
      <w:r>
        <w:separator/>
      </w:r>
    </w:p>
  </w:footnote>
  <w:footnote w:type="continuationSeparator" w:id="0">
    <w:p w14:paraId="361B346B" w14:textId="77777777" w:rsidR="005D3FC6" w:rsidRDefault="005D3FC6" w:rsidP="009157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5D3FC6" w:rsidRPr="00251C18" w14:paraId="0EE26469" w14:textId="77777777" w:rsidTr="00750E66">
      <w:tc>
        <w:tcPr>
          <w:tcW w:w="1980" w:type="dxa"/>
          <w:shd w:val="clear" w:color="auto" w:fill="auto"/>
        </w:tcPr>
        <w:p w14:paraId="78A86539" w14:textId="77777777" w:rsidR="005D3FC6" w:rsidRPr="00251C18" w:rsidRDefault="005D3FC6" w:rsidP="00750E66">
          <w:pPr>
            <w:pStyle w:val="Header"/>
            <w:rPr>
              <w:rFonts w:cs="Arial"/>
              <w:color w:val="3366FF"/>
            </w:rPr>
          </w:pPr>
          <w:r>
            <w:rPr>
              <w:rFonts w:cs="Arial"/>
              <w:noProof/>
              <w:color w:val="3366FF"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01334240" wp14:editId="26812FBF">
                <wp:simplePos x="0" y="0"/>
                <wp:positionH relativeFrom="column">
                  <wp:posOffset>-74680</wp:posOffset>
                </wp:positionH>
                <wp:positionV relativeFrom="paragraph">
                  <wp:posOffset>-196850</wp:posOffset>
                </wp:positionV>
                <wp:extent cx="1296035" cy="554990"/>
                <wp:effectExtent l="0" t="0" r="0" b="0"/>
                <wp:wrapNone/>
                <wp:docPr id="1" name="Picture 1" descr="SciLearn URL RGB cropp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ciLearn URL RGB cropp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6035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54" w:type="dxa"/>
          <w:shd w:val="clear" w:color="auto" w:fill="auto"/>
          <w:vAlign w:val="center"/>
        </w:tcPr>
        <w:p w14:paraId="6F403FF4" w14:textId="77777777" w:rsidR="005D3FC6" w:rsidRPr="00251C18" w:rsidRDefault="005D3FC6" w:rsidP="00915758">
          <w:pPr>
            <w:pStyle w:val="Header"/>
            <w:ind w:left="283"/>
            <w:rPr>
              <w:rFonts w:cs="Arial"/>
              <w:color w:val="3366FF"/>
            </w:rPr>
          </w:pPr>
          <w:r>
            <w:rPr>
              <w:rFonts w:cs="Arial"/>
              <w:color w:val="3366FF"/>
            </w:rPr>
            <w:t xml:space="preserve">Professional development: Soil activities and science capabilities </w:t>
          </w:r>
          <w:r w:rsidRPr="00251C18">
            <w:rPr>
              <w:rFonts w:cs="Arial"/>
              <w:color w:val="3366FF"/>
            </w:rPr>
            <w:t xml:space="preserve"> </w:t>
          </w:r>
        </w:p>
      </w:tc>
    </w:tr>
  </w:tbl>
  <w:p w14:paraId="1E32D1DC" w14:textId="77777777" w:rsidR="005D3FC6" w:rsidRDefault="005D3F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58"/>
    <w:rsid w:val="001D54EF"/>
    <w:rsid w:val="0046230E"/>
    <w:rsid w:val="004C617C"/>
    <w:rsid w:val="005D3FC6"/>
    <w:rsid w:val="00750E66"/>
    <w:rsid w:val="007C5924"/>
    <w:rsid w:val="008366B1"/>
    <w:rsid w:val="00915758"/>
    <w:rsid w:val="00A3778D"/>
    <w:rsid w:val="00AA6F8A"/>
    <w:rsid w:val="00E9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CD30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758"/>
    <w:rPr>
      <w:rFonts w:ascii="Verdana" w:eastAsia="Times New Roman" w:hAnsi="Verdana" w:cs="Times New Roman"/>
      <w:sz w:val="20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15758"/>
    <w:pPr>
      <w:spacing w:before="100" w:beforeAutospacing="1" w:after="100" w:afterAutospacing="1"/>
    </w:pPr>
    <w:rPr>
      <w:rFonts w:ascii="Times New Roman" w:hAnsi="Times New Roman"/>
      <w:sz w:val="24"/>
      <w:lang w:val="en-NZ" w:eastAsia="en-NZ"/>
    </w:rPr>
  </w:style>
  <w:style w:type="character" w:customStyle="1" w:styleId="normaltextrun">
    <w:name w:val="normaltextrun"/>
    <w:rsid w:val="00915758"/>
  </w:style>
  <w:style w:type="character" w:customStyle="1" w:styleId="eop">
    <w:name w:val="eop"/>
    <w:rsid w:val="00915758"/>
  </w:style>
  <w:style w:type="paragraph" w:styleId="Header">
    <w:name w:val="header"/>
    <w:basedOn w:val="Normal"/>
    <w:link w:val="HeaderChar"/>
    <w:uiPriority w:val="99"/>
    <w:unhideWhenUsed/>
    <w:rsid w:val="009157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758"/>
    <w:rPr>
      <w:rFonts w:ascii="Verdana" w:eastAsia="Times New Roman" w:hAnsi="Verdana" w:cs="Times New Roman"/>
      <w:sz w:val="20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157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758"/>
    <w:rPr>
      <w:rFonts w:ascii="Verdana" w:eastAsia="Times New Roman" w:hAnsi="Verdana" w:cs="Times New Roman"/>
      <w:sz w:val="20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58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rsid w:val="00915758"/>
    <w:rPr>
      <w:rFonts w:cs="Times New Roman"/>
      <w:color w:val="0000FF"/>
      <w:u w:val="single"/>
    </w:rPr>
  </w:style>
  <w:style w:type="character" w:customStyle="1" w:styleId="HeaderChar1">
    <w:name w:val="Header Char1"/>
    <w:locked/>
    <w:rsid w:val="00915758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ocked/>
    <w:rsid w:val="00915758"/>
    <w:rPr>
      <w:rFonts w:ascii="Verdana" w:hAnsi="Verdana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758"/>
    <w:rPr>
      <w:rFonts w:ascii="Verdana" w:eastAsia="Times New Roman" w:hAnsi="Verdana" w:cs="Times New Roman"/>
      <w:sz w:val="20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15758"/>
    <w:pPr>
      <w:spacing w:before="100" w:beforeAutospacing="1" w:after="100" w:afterAutospacing="1"/>
    </w:pPr>
    <w:rPr>
      <w:rFonts w:ascii="Times New Roman" w:hAnsi="Times New Roman"/>
      <w:sz w:val="24"/>
      <w:lang w:val="en-NZ" w:eastAsia="en-NZ"/>
    </w:rPr>
  </w:style>
  <w:style w:type="character" w:customStyle="1" w:styleId="normaltextrun">
    <w:name w:val="normaltextrun"/>
    <w:rsid w:val="00915758"/>
  </w:style>
  <w:style w:type="character" w:customStyle="1" w:styleId="eop">
    <w:name w:val="eop"/>
    <w:rsid w:val="00915758"/>
  </w:style>
  <w:style w:type="paragraph" w:styleId="Header">
    <w:name w:val="header"/>
    <w:basedOn w:val="Normal"/>
    <w:link w:val="HeaderChar"/>
    <w:uiPriority w:val="99"/>
    <w:unhideWhenUsed/>
    <w:rsid w:val="009157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758"/>
    <w:rPr>
      <w:rFonts w:ascii="Verdana" w:eastAsia="Times New Roman" w:hAnsi="Verdana" w:cs="Times New Roman"/>
      <w:sz w:val="20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157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758"/>
    <w:rPr>
      <w:rFonts w:ascii="Verdana" w:eastAsia="Times New Roman" w:hAnsi="Verdana" w:cs="Times New Roman"/>
      <w:sz w:val="20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58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rsid w:val="00915758"/>
    <w:rPr>
      <w:rFonts w:cs="Times New Roman"/>
      <w:color w:val="0000FF"/>
      <w:u w:val="single"/>
    </w:rPr>
  </w:style>
  <w:style w:type="character" w:customStyle="1" w:styleId="HeaderChar1">
    <w:name w:val="Header Char1"/>
    <w:locked/>
    <w:rsid w:val="00915758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ocked/>
    <w:rsid w:val="00915758"/>
    <w:rPr>
      <w:rFonts w:ascii="Verdana" w:hAnsi="Verdan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ciencelearn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Science Learning Hub, The University of Waikato</dc:creator>
  <cp:lastModifiedBy>Tom Goulter</cp:lastModifiedBy>
  <cp:revision>2</cp:revision>
  <dcterms:created xsi:type="dcterms:W3CDTF">2016-05-24T22:34:00Z</dcterms:created>
  <dcterms:modified xsi:type="dcterms:W3CDTF">2016-05-24T23:23:00Z</dcterms:modified>
</cp:coreProperties>
</file>