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1C0B" w:rsidRDefault="00C24DA6" w:rsidP="00D264D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Index – SLH PD</w:t>
      </w:r>
    </w:p>
    <w:p w:rsidR="00D264D0" w:rsidRDefault="00C24DA6" w:rsidP="00D264D0">
      <w:pPr>
        <w:spacing w:line="360" w:lineRule="auto"/>
        <w:ind w:left="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 introduction to Aqua Republica – </w:t>
      </w:r>
    </w:p>
    <w:p w:rsidR="00217B43" w:rsidRPr="00D264D0" w:rsidRDefault="00C24DA6" w:rsidP="00D264D0">
      <w:pPr>
        <w:spacing w:line="360" w:lineRule="auto"/>
        <w:ind w:left="416"/>
        <w:jc w:val="center"/>
        <w:rPr>
          <w:sz w:val="18"/>
        </w:rPr>
      </w:pPr>
      <w:proofErr w:type="gramStart"/>
      <w:r w:rsidRPr="00D264D0">
        <w:rPr>
          <w:b/>
          <w:sz w:val="22"/>
          <w:szCs w:val="24"/>
        </w:rPr>
        <w:t>gaming</w:t>
      </w:r>
      <w:proofErr w:type="gramEnd"/>
      <w:r w:rsidRPr="00D264D0">
        <w:rPr>
          <w:b/>
          <w:sz w:val="22"/>
          <w:szCs w:val="24"/>
        </w:rPr>
        <w:t xml:space="preserve"> to understand the complexities of water catchment management </w:t>
      </w:r>
    </w:p>
    <w:p w:rsidR="00217B43" w:rsidRDefault="00217B43">
      <w:pPr>
        <w:ind w:left="416"/>
        <w:jc w:val="center"/>
      </w:pPr>
    </w:p>
    <w:p w:rsidR="000D1C0B" w:rsidRDefault="000D1C0B">
      <w:pPr>
        <w:ind w:left="416"/>
        <w:jc w:val="center"/>
      </w:pPr>
    </w:p>
    <w:p w:rsidR="00217B43" w:rsidRDefault="00217B43"/>
    <w:tbl>
      <w:tblPr>
        <w:tblStyle w:val="a2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2355"/>
        <w:gridCol w:w="1455"/>
      </w:tblGrid>
      <w:tr w:rsidR="00217B43">
        <w:trPr>
          <w:trHeight w:val="860"/>
        </w:trPr>
        <w:tc>
          <w:tcPr>
            <w:tcW w:w="5826" w:type="dxa"/>
          </w:tcPr>
          <w:p w:rsidR="00217B43" w:rsidRDefault="00C24DA6">
            <w:pPr>
              <w:spacing w:after="120" w:line="360" w:lineRule="auto"/>
            </w:pPr>
            <w:r>
              <w:rPr>
                <w:b/>
              </w:rPr>
              <w:t>Topic</w:t>
            </w:r>
          </w:p>
        </w:tc>
        <w:tc>
          <w:tcPr>
            <w:tcW w:w="2355" w:type="dxa"/>
          </w:tcPr>
          <w:p w:rsidR="00217B43" w:rsidRDefault="00C24DA6">
            <w:pPr>
              <w:spacing w:after="120" w:line="360" w:lineRule="auto"/>
              <w:jc w:val="center"/>
            </w:pPr>
            <w:r>
              <w:rPr>
                <w:b/>
              </w:rPr>
              <w:t>PowerPoint slide number(s)</w:t>
            </w:r>
          </w:p>
        </w:tc>
        <w:tc>
          <w:tcPr>
            <w:tcW w:w="1455" w:type="dxa"/>
          </w:tcPr>
          <w:p w:rsidR="00217B43" w:rsidRDefault="00C24DA6">
            <w:pPr>
              <w:spacing w:after="120" w:line="360" w:lineRule="auto"/>
              <w:jc w:val="center"/>
            </w:pPr>
            <w:r>
              <w:rPr>
                <w:b/>
              </w:rPr>
              <w:t xml:space="preserve">Video timecode </w:t>
            </w:r>
          </w:p>
        </w:tc>
      </w:tr>
      <w:tr w:rsidR="00217B43" w:rsidTr="00FD3FEF">
        <w:trPr>
          <w:trHeight w:val="280"/>
        </w:trPr>
        <w:tc>
          <w:tcPr>
            <w:tcW w:w="5826" w:type="dxa"/>
            <w:vAlign w:val="center"/>
          </w:tcPr>
          <w:p w:rsidR="00217B43" w:rsidRDefault="00C24DA6" w:rsidP="00FD3FEF">
            <w:pPr>
              <w:spacing w:before="100" w:after="100"/>
            </w:pPr>
            <w:r>
              <w:t>Introducing the Science Learning Hub and presenters 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spacing w:before="100" w:after="100"/>
              <w:jc w:val="right"/>
            </w:pPr>
            <w:r>
              <w:t>1–7</w:t>
            </w:r>
          </w:p>
        </w:tc>
        <w:tc>
          <w:tcPr>
            <w:tcW w:w="1455" w:type="dxa"/>
          </w:tcPr>
          <w:p w:rsidR="00217B43" w:rsidRDefault="000A3886">
            <w:pPr>
              <w:spacing w:before="100" w:after="100"/>
              <w:jc w:val="right"/>
            </w:pPr>
            <w:r>
              <w:t>00:00</w:t>
            </w:r>
          </w:p>
        </w:tc>
      </w:tr>
      <w:tr w:rsidR="00217B43" w:rsidTr="00FD3FEF">
        <w:trPr>
          <w:trHeight w:val="300"/>
        </w:trPr>
        <w:tc>
          <w:tcPr>
            <w:tcW w:w="5826" w:type="dxa"/>
            <w:vAlign w:val="center"/>
          </w:tcPr>
          <w:p w:rsidR="00217B43" w:rsidRDefault="00C24DA6" w:rsidP="00FD3FEF">
            <w:r>
              <w:t>Purpose of the webinar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jc w:val="right"/>
            </w:pPr>
            <w:r>
              <w:t>8</w:t>
            </w:r>
            <w:r>
              <w:rPr>
                <w:rFonts w:ascii="Roboto" w:eastAsia="Roboto" w:hAnsi="Roboto" w:cs="Roboto"/>
              </w:rPr>
              <w:t>–</w:t>
            </w:r>
            <w:r>
              <w:t>9</w:t>
            </w:r>
          </w:p>
        </w:tc>
        <w:tc>
          <w:tcPr>
            <w:tcW w:w="1455" w:type="dxa"/>
          </w:tcPr>
          <w:p w:rsidR="00217B43" w:rsidRDefault="000A3886">
            <w:pPr>
              <w:spacing w:before="100" w:after="100"/>
              <w:jc w:val="right"/>
            </w:pPr>
            <w:r>
              <w:t>06:34</w:t>
            </w:r>
          </w:p>
        </w:tc>
      </w:tr>
      <w:tr w:rsidR="00217B43" w:rsidTr="00FD3FEF">
        <w:trPr>
          <w:trHeight w:val="280"/>
        </w:trPr>
        <w:tc>
          <w:tcPr>
            <w:tcW w:w="5826" w:type="dxa"/>
            <w:vAlign w:val="center"/>
          </w:tcPr>
          <w:p w:rsidR="00217B43" w:rsidRDefault="00C24DA6" w:rsidP="00FD3FEF">
            <w:r>
              <w:t>Rose Jowsey form DHI introducing Aqua Republica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jc w:val="right"/>
            </w:pPr>
            <w:r>
              <w:t>10</w:t>
            </w:r>
            <w:r>
              <w:rPr>
                <w:rFonts w:ascii="Roboto" w:eastAsia="Roboto" w:hAnsi="Roboto" w:cs="Roboto"/>
              </w:rPr>
              <w:t>–</w:t>
            </w:r>
            <w:r>
              <w:t>16</w:t>
            </w:r>
          </w:p>
        </w:tc>
        <w:tc>
          <w:tcPr>
            <w:tcW w:w="1455" w:type="dxa"/>
          </w:tcPr>
          <w:p w:rsidR="00217B43" w:rsidRDefault="000A3886">
            <w:pPr>
              <w:spacing w:before="100" w:after="100"/>
              <w:jc w:val="right"/>
            </w:pPr>
            <w:r>
              <w:t>12</w:t>
            </w:r>
            <w:r w:rsidR="00D264D0">
              <w:t>:50</w:t>
            </w:r>
          </w:p>
        </w:tc>
      </w:tr>
      <w:tr w:rsidR="00217B43" w:rsidTr="00FD3FEF">
        <w:trPr>
          <w:trHeight w:val="280"/>
        </w:trPr>
        <w:tc>
          <w:tcPr>
            <w:tcW w:w="5826" w:type="dxa"/>
            <w:vAlign w:val="center"/>
          </w:tcPr>
          <w:p w:rsidR="00217B43" w:rsidRDefault="00C24DA6" w:rsidP="00FD3FEF">
            <w:r>
              <w:t xml:space="preserve">Exploring the Science Learning Hub resources 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jc w:val="right"/>
            </w:pPr>
            <w:r>
              <w:t>17–24</w:t>
            </w:r>
          </w:p>
        </w:tc>
        <w:tc>
          <w:tcPr>
            <w:tcW w:w="1455" w:type="dxa"/>
          </w:tcPr>
          <w:p w:rsidR="00217B43" w:rsidRDefault="000A3886" w:rsidP="00D264D0">
            <w:pPr>
              <w:spacing w:before="100" w:after="100"/>
              <w:jc w:val="right"/>
            </w:pPr>
            <w:r>
              <w:t>21:</w:t>
            </w:r>
            <w:r w:rsidR="00D264D0">
              <w:t>47</w:t>
            </w:r>
          </w:p>
        </w:tc>
      </w:tr>
      <w:tr w:rsidR="00217B43" w:rsidTr="00FD3FEF">
        <w:trPr>
          <w:trHeight w:val="280"/>
        </w:trPr>
        <w:tc>
          <w:tcPr>
            <w:tcW w:w="5826" w:type="dxa"/>
            <w:vAlign w:val="center"/>
          </w:tcPr>
          <w:p w:rsidR="00217B43" w:rsidRDefault="00C24DA6" w:rsidP="00FD3FEF">
            <w:pPr>
              <w:spacing w:before="100" w:after="100"/>
            </w:pPr>
            <w:r>
              <w:t>How can classroom teachers engage with Aqua Republica?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spacing w:before="100" w:after="100"/>
              <w:jc w:val="right"/>
            </w:pPr>
            <w:r>
              <w:t> 25</w:t>
            </w:r>
          </w:p>
        </w:tc>
        <w:tc>
          <w:tcPr>
            <w:tcW w:w="1455" w:type="dxa"/>
          </w:tcPr>
          <w:p w:rsidR="00217B43" w:rsidRDefault="000A3886" w:rsidP="00D264D0">
            <w:pPr>
              <w:spacing w:before="100" w:after="100"/>
              <w:jc w:val="right"/>
            </w:pPr>
            <w:r>
              <w:t>32:</w:t>
            </w:r>
            <w:r w:rsidR="00D264D0">
              <w:t>48</w:t>
            </w:r>
          </w:p>
        </w:tc>
      </w:tr>
      <w:tr w:rsidR="00217B43" w:rsidTr="00FD3FEF">
        <w:trPr>
          <w:trHeight w:val="280"/>
        </w:trPr>
        <w:tc>
          <w:tcPr>
            <w:tcW w:w="5826" w:type="dxa"/>
            <w:vAlign w:val="center"/>
          </w:tcPr>
          <w:p w:rsidR="00217B43" w:rsidRDefault="00C24DA6" w:rsidP="00FD3FEF">
            <w:pPr>
              <w:spacing w:before="100" w:after="100"/>
            </w:pPr>
            <w:r>
              <w:t xml:space="preserve">Webinar 2 </w:t>
            </w:r>
            <w:r>
              <w:rPr>
                <w:rFonts w:ascii="Roboto" w:eastAsia="Roboto" w:hAnsi="Roboto" w:cs="Roboto"/>
              </w:rPr>
              <w:t xml:space="preserve"> –</w:t>
            </w:r>
            <w:r>
              <w:t xml:space="preserve"> how to play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spacing w:before="100" w:after="100"/>
              <w:jc w:val="right"/>
            </w:pPr>
            <w:r>
              <w:t> 26</w:t>
            </w:r>
          </w:p>
        </w:tc>
        <w:tc>
          <w:tcPr>
            <w:tcW w:w="1455" w:type="dxa"/>
          </w:tcPr>
          <w:p w:rsidR="00217B43" w:rsidRDefault="000A3886" w:rsidP="00D264D0">
            <w:pPr>
              <w:spacing w:before="100" w:after="100"/>
              <w:jc w:val="right"/>
            </w:pPr>
            <w:r>
              <w:t>33:5</w:t>
            </w:r>
            <w:r w:rsidR="00D264D0">
              <w:t>1</w:t>
            </w:r>
          </w:p>
        </w:tc>
      </w:tr>
      <w:tr w:rsidR="00217B43" w:rsidTr="00FD3FEF">
        <w:trPr>
          <w:trHeight w:val="60"/>
        </w:trPr>
        <w:tc>
          <w:tcPr>
            <w:tcW w:w="5826" w:type="dxa"/>
            <w:vAlign w:val="center"/>
          </w:tcPr>
          <w:p w:rsidR="00217B43" w:rsidRDefault="00C24DA6" w:rsidP="00FD3FEF">
            <w:r>
              <w:t xml:space="preserve">Webinar 3 </w:t>
            </w:r>
            <w:r>
              <w:rPr>
                <w:rFonts w:ascii="Roboto" w:eastAsia="Roboto" w:hAnsi="Roboto" w:cs="Roboto"/>
              </w:rPr>
              <w:t xml:space="preserve"> –</w:t>
            </w:r>
            <w:r>
              <w:t xml:space="preserve"> reflecting about the challenge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spacing w:before="100" w:after="100"/>
              <w:jc w:val="right"/>
            </w:pPr>
            <w:r>
              <w:t> 27</w:t>
            </w:r>
          </w:p>
        </w:tc>
        <w:tc>
          <w:tcPr>
            <w:tcW w:w="1455" w:type="dxa"/>
          </w:tcPr>
          <w:p w:rsidR="00217B43" w:rsidRDefault="000A3886" w:rsidP="00D264D0">
            <w:pPr>
              <w:spacing w:before="100" w:after="100"/>
              <w:jc w:val="right"/>
            </w:pPr>
            <w:r>
              <w:t>34:</w:t>
            </w:r>
            <w:r w:rsidR="00D264D0">
              <w:t>13</w:t>
            </w:r>
          </w:p>
        </w:tc>
      </w:tr>
      <w:tr w:rsidR="00217B43" w:rsidTr="00FD3FEF">
        <w:trPr>
          <w:trHeight w:val="160"/>
        </w:trPr>
        <w:tc>
          <w:tcPr>
            <w:tcW w:w="5826" w:type="dxa"/>
            <w:vAlign w:val="center"/>
          </w:tcPr>
          <w:p w:rsidR="00217B43" w:rsidRDefault="00C24DA6" w:rsidP="00FD3FEF">
            <w:r>
              <w:t>Contact details and extra links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spacing w:before="100" w:after="100"/>
              <w:jc w:val="right"/>
            </w:pPr>
            <w:r>
              <w:t> 28</w:t>
            </w:r>
          </w:p>
        </w:tc>
        <w:tc>
          <w:tcPr>
            <w:tcW w:w="1455" w:type="dxa"/>
          </w:tcPr>
          <w:p w:rsidR="00217B43" w:rsidRDefault="000A3886" w:rsidP="00D264D0">
            <w:pPr>
              <w:spacing w:before="100" w:after="100"/>
              <w:jc w:val="right"/>
            </w:pPr>
            <w:r>
              <w:t>34:</w:t>
            </w:r>
            <w:r w:rsidR="00D264D0">
              <w:t>29</w:t>
            </w:r>
          </w:p>
        </w:tc>
      </w:tr>
      <w:tr w:rsidR="00217B43" w:rsidTr="00FD3FEF">
        <w:trPr>
          <w:trHeight w:val="280"/>
        </w:trPr>
        <w:tc>
          <w:tcPr>
            <w:tcW w:w="5826" w:type="dxa"/>
            <w:vAlign w:val="center"/>
          </w:tcPr>
          <w:p w:rsidR="00217B43" w:rsidRDefault="00C24DA6" w:rsidP="00FD3FEF">
            <w:r>
              <w:t>SLH promotional bookmarks, SLH links, thanks</w:t>
            </w:r>
          </w:p>
        </w:tc>
        <w:tc>
          <w:tcPr>
            <w:tcW w:w="2355" w:type="dxa"/>
            <w:vAlign w:val="center"/>
          </w:tcPr>
          <w:p w:rsidR="00217B43" w:rsidRDefault="00C24DA6" w:rsidP="00D264D0">
            <w:pPr>
              <w:spacing w:before="100" w:after="100"/>
              <w:jc w:val="right"/>
            </w:pPr>
            <w:r>
              <w:t> 29–30</w:t>
            </w:r>
          </w:p>
        </w:tc>
        <w:tc>
          <w:tcPr>
            <w:tcW w:w="1455" w:type="dxa"/>
          </w:tcPr>
          <w:p w:rsidR="00217B43" w:rsidRDefault="000A3886" w:rsidP="00D264D0">
            <w:pPr>
              <w:spacing w:before="100" w:after="100"/>
              <w:jc w:val="right"/>
            </w:pPr>
            <w:r>
              <w:t>3</w:t>
            </w:r>
            <w:r w:rsidR="00D264D0">
              <w:t>5</w:t>
            </w:r>
            <w:r>
              <w:t>:</w:t>
            </w:r>
            <w:r w:rsidR="00D264D0">
              <w:t>69</w:t>
            </w:r>
          </w:p>
        </w:tc>
      </w:tr>
    </w:tbl>
    <w:p w:rsidR="00217B43" w:rsidRDefault="00217B43">
      <w:bookmarkStart w:id="0" w:name="_GoBack"/>
      <w:bookmarkEnd w:id="0"/>
    </w:p>
    <w:sectPr w:rsidR="00217B43" w:rsidSect="00D264D0">
      <w:headerReference w:type="default" r:id="rId8"/>
      <w:footerReference w:type="default" r:id="rId9"/>
      <w:pgSz w:w="11907" w:h="16840"/>
      <w:pgMar w:top="60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A6" w:rsidRDefault="00C24DA6">
      <w:r>
        <w:separator/>
      </w:r>
    </w:p>
  </w:endnote>
  <w:endnote w:type="continuationSeparator" w:id="0">
    <w:p w:rsidR="00C24DA6" w:rsidRDefault="00C2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43" w:rsidRDefault="00C24DA6">
    <w:pPr>
      <w:tabs>
        <w:tab w:val="center" w:pos="4320"/>
        <w:tab w:val="right" w:pos="8640"/>
      </w:tabs>
    </w:pPr>
    <w:r>
      <w:rPr>
        <w:color w:val="3366FF"/>
      </w:rPr>
      <w:t>© Copyright. Science Learning Hub, The University of Waikato.</w:t>
    </w:r>
  </w:p>
  <w:p w:rsidR="00217B43" w:rsidRDefault="003353B7">
    <w:pPr>
      <w:tabs>
        <w:tab w:val="center" w:pos="4320"/>
        <w:tab w:val="right" w:pos="8640"/>
      </w:tabs>
      <w:spacing w:after="709"/>
      <w:ind w:right="360"/>
    </w:pPr>
    <w:hyperlink r:id="rId1">
      <w:r w:rsidR="00C24DA6">
        <w:rPr>
          <w:color w:val="0000FF"/>
          <w:u w:val="single"/>
        </w:rPr>
        <w:t>http://sciencelearn.org.nz</w:t>
      </w:r>
    </w:hyperlink>
    <w:r w:rsidR="00C24D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A6" w:rsidRDefault="00C24DA6">
      <w:r>
        <w:separator/>
      </w:r>
    </w:p>
  </w:footnote>
  <w:footnote w:type="continuationSeparator" w:id="0">
    <w:p w:rsidR="00C24DA6" w:rsidRDefault="00C2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9634" w:type="dxa"/>
      <w:tblInd w:w="5" w:type="dxa"/>
      <w:tblLayout w:type="fixed"/>
      <w:tblLook w:val="0000" w:firstRow="0" w:lastRow="0" w:firstColumn="0" w:lastColumn="0" w:noHBand="0" w:noVBand="0"/>
    </w:tblPr>
    <w:tblGrid>
      <w:gridCol w:w="1980"/>
      <w:gridCol w:w="7654"/>
    </w:tblGrid>
    <w:tr w:rsidR="00217B43" w:rsidTr="00FD3FEF">
      <w:tc>
        <w:tcPr>
          <w:tcW w:w="1980" w:type="dxa"/>
        </w:tcPr>
        <w:p w:rsidR="00217B43" w:rsidRDefault="00FD3FEF">
          <w:pPr>
            <w:tabs>
              <w:tab w:val="center" w:pos="4320"/>
              <w:tab w:val="right" w:pos="8640"/>
            </w:tabs>
            <w:spacing w:before="709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hidden="0" allowOverlap="1" wp14:anchorId="4218EA2D" wp14:editId="50DC8535">
                <wp:simplePos x="0" y="0"/>
                <wp:positionH relativeFrom="margin">
                  <wp:posOffset>-54610</wp:posOffset>
                </wp:positionH>
                <wp:positionV relativeFrom="paragraph">
                  <wp:posOffset>33020</wp:posOffset>
                </wp:positionV>
                <wp:extent cx="1296035" cy="554990"/>
                <wp:effectExtent l="0" t="0" r="0" b="0"/>
                <wp:wrapNone/>
                <wp:docPr id="1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vAlign w:val="center"/>
        </w:tcPr>
        <w:p w:rsidR="00217B43" w:rsidRDefault="00C24DA6" w:rsidP="00FD3FEF">
          <w:pPr>
            <w:tabs>
              <w:tab w:val="center" w:pos="4320"/>
              <w:tab w:val="right" w:pos="8640"/>
            </w:tabs>
            <w:ind w:left="215"/>
          </w:pPr>
          <w:r>
            <w:rPr>
              <w:color w:val="3366FF"/>
            </w:rPr>
            <w:t xml:space="preserve">Professional development: An introduction to Aqua Republica </w:t>
          </w:r>
          <w:r>
            <w:rPr>
              <w:rFonts w:ascii="Roboto" w:eastAsia="Roboto" w:hAnsi="Roboto" w:cs="Roboto"/>
            </w:rPr>
            <w:t xml:space="preserve"> –</w:t>
          </w:r>
          <w:r>
            <w:rPr>
              <w:color w:val="3366FF"/>
            </w:rPr>
            <w:t xml:space="preserve"> a serious game</w:t>
          </w:r>
        </w:p>
      </w:tc>
    </w:tr>
  </w:tbl>
  <w:p w:rsidR="00217B43" w:rsidRDefault="00217B43" w:rsidP="00D264D0">
    <w:pPr>
      <w:tabs>
        <w:tab w:val="center" w:pos="4320"/>
        <w:tab w:val="right" w:pos="8640"/>
      </w:tabs>
      <w:spacing w:befor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524"/>
    <w:multiLevelType w:val="multilevel"/>
    <w:tmpl w:val="A6B042E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49FD2ADC"/>
    <w:multiLevelType w:val="multilevel"/>
    <w:tmpl w:val="E0A6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A712FFA"/>
    <w:multiLevelType w:val="multilevel"/>
    <w:tmpl w:val="805A7D1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7B43"/>
    <w:rsid w:val="000A3886"/>
    <w:rsid w:val="000D1C0B"/>
    <w:rsid w:val="0016641B"/>
    <w:rsid w:val="00217B43"/>
    <w:rsid w:val="003353B7"/>
    <w:rsid w:val="00C24DA6"/>
    <w:rsid w:val="00D264D0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6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FEF"/>
  </w:style>
  <w:style w:type="paragraph" w:styleId="Footer">
    <w:name w:val="footer"/>
    <w:basedOn w:val="Normal"/>
    <w:link w:val="FooterChar"/>
    <w:uiPriority w:val="99"/>
    <w:unhideWhenUsed/>
    <w:rsid w:val="00FD3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6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FEF"/>
  </w:style>
  <w:style w:type="paragraph" w:styleId="Footer">
    <w:name w:val="footer"/>
    <w:basedOn w:val="Normal"/>
    <w:link w:val="FooterChar"/>
    <w:uiPriority w:val="99"/>
    <w:unhideWhenUsed/>
    <w:rsid w:val="00FD3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Vanya Bootham</cp:lastModifiedBy>
  <cp:revision>3</cp:revision>
  <cp:lastPrinted>2016-08-10T04:39:00Z</cp:lastPrinted>
  <dcterms:created xsi:type="dcterms:W3CDTF">2016-08-10T04:39:00Z</dcterms:created>
  <dcterms:modified xsi:type="dcterms:W3CDTF">2016-08-10T04:39:00Z</dcterms:modified>
</cp:coreProperties>
</file>