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BF499" w14:textId="77777777" w:rsidR="00111672" w:rsidRPr="00C876E5" w:rsidRDefault="00111672" w:rsidP="00111672">
      <w:pPr>
        <w:jc w:val="center"/>
        <w:rPr>
          <w:b/>
          <w:sz w:val="24"/>
        </w:rPr>
      </w:pPr>
      <w:bookmarkStart w:id="0" w:name="_GoBack"/>
      <w:bookmarkEnd w:id="0"/>
      <w:r w:rsidRPr="00C876E5">
        <w:rPr>
          <w:b/>
          <w:sz w:val="24"/>
        </w:rPr>
        <w:t xml:space="preserve">ACTIVITY: </w:t>
      </w:r>
      <w:r>
        <w:rPr>
          <w:b/>
          <w:sz w:val="24"/>
        </w:rPr>
        <w:t>Measuring the s</w:t>
      </w:r>
      <w:r w:rsidRPr="00FD01E9">
        <w:rPr>
          <w:b/>
          <w:sz w:val="24"/>
        </w:rPr>
        <w:t>pecific gravity of quartz</w:t>
      </w:r>
    </w:p>
    <w:p w14:paraId="2153704B" w14:textId="77777777" w:rsidR="00111672" w:rsidRDefault="00111672" w:rsidP="00111672"/>
    <w:p w14:paraId="1907B781" w14:textId="77777777" w:rsidR="00111672" w:rsidRDefault="00111672" w:rsidP="001116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58178390" w14:textId="77777777" w:rsidR="00111672" w:rsidRDefault="00111672" w:rsidP="001116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191F11E4" w14:textId="77777777" w:rsidR="00111672" w:rsidRDefault="00111672" w:rsidP="00111672">
      <w:pPr>
        <w:pBdr>
          <w:top w:val="single" w:sz="4" w:space="1" w:color="auto"/>
          <w:left w:val="single" w:sz="4" w:space="1" w:color="auto"/>
          <w:bottom w:val="single" w:sz="4" w:space="1" w:color="auto"/>
          <w:right w:val="single" w:sz="4" w:space="1" w:color="auto"/>
        </w:pBdr>
      </w:pPr>
      <w:r>
        <w:t xml:space="preserve">In this activity, students measure the specific gravity of a sample of the mineral quartz – another physical property of minerals that can be used in mineral identification. </w:t>
      </w:r>
    </w:p>
    <w:p w14:paraId="57FE24DA" w14:textId="77777777" w:rsidR="00111672" w:rsidRPr="00FB23DB" w:rsidRDefault="00111672" w:rsidP="0011167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 </w:t>
      </w:r>
    </w:p>
    <w:p w14:paraId="4BD8B4E8" w14:textId="77777777" w:rsidR="00111672" w:rsidRPr="00DB77A8" w:rsidRDefault="00111672" w:rsidP="0011167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w:t>
      </w:r>
    </w:p>
    <w:p w14:paraId="53A10FD5" w14:textId="77777777" w:rsidR="00111672" w:rsidRPr="00FB23DB" w:rsidRDefault="00111672" w:rsidP="00111672">
      <w:pPr>
        <w:pStyle w:val="NormalWeb"/>
        <w:numPr>
          <w:ilvl w:val="0"/>
          <w:numId w:val="15"/>
        </w:numPr>
        <w:pBdr>
          <w:top w:val="single" w:sz="4" w:space="1" w:color="auto"/>
          <w:left w:val="single" w:sz="4" w:space="1" w:color="auto"/>
          <w:bottom w:val="single" w:sz="4" w:space="1" w:color="auto"/>
          <w:right w:val="single" w:sz="4" w:space="1" w:color="auto"/>
        </w:pBdr>
        <w:spacing w:before="0" w:beforeAutospacing="0" w:after="0" w:afterAutospacing="0"/>
        <w:ind w:left="360"/>
        <w:rPr>
          <w:rFonts w:ascii="Verdana" w:hAnsi="Verdana" w:cs="Helvetica"/>
          <w:sz w:val="20"/>
          <w:szCs w:val="20"/>
          <w:lang w:val="en-AU" w:eastAsia="en-US"/>
        </w:rPr>
      </w:pPr>
      <w:r>
        <w:rPr>
          <w:rFonts w:ascii="Verdana" w:hAnsi="Verdana" w:cs="Helvetica"/>
          <w:sz w:val="20"/>
          <w:szCs w:val="20"/>
          <w:lang w:val="en-AU" w:eastAsia="en-US"/>
        </w:rPr>
        <w:t>explain the meaning of the term specific gravity</w:t>
      </w:r>
    </w:p>
    <w:p w14:paraId="64E93944" w14:textId="77777777" w:rsidR="00111672"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calculate the specific gravity of a mineral sample from selected data</w:t>
      </w:r>
    </w:p>
    <w:p w14:paraId="6246CC34" w14:textId="77777777" w:rsidR="00111672"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 xml:space="preserve">recognise how specific gravity can vary from one mineral sample to another </w:t>
      </w:r>
    </w:p>
    <w:p w14:paraId="5114D350" w14:textId="77777777" w:rsidR="00111672" w:rsidRPr="005A06DF"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relate physical properties such as specific gravity as an aid in the identification of minerals.</w:t>
      </w:r>
    </w:p>
    <w:p w14:paraId="26FB7789" w14:textId="77777777" w:rsidR="00111672" w:rsidRDefault="00111672" w:rsidP="00111672">
      <w:pPr>
        <w:rPr>
          <w:szCs w:val="20"/>
        </w:rPr>
      </w:pPr>
    </w:p>
    <w:p w14:paraId="18258396" w14:textId="77777777" w:rsidR="00111672" w:rsidRPr="00C876E5" w:rsidRDefault="003D61EA" w:rsidP="00111672">
      <w:pPr>
        <w:rPr>
          <w:szCs w:val="20"/>
        </w:rPr>
      </w:pPr>
      <w:hyperlink w:anchor="Introduction" w:history="1">
        <w:r w:rsidR="00111672" w:rsidRPr="00FE4289">
          <w:rPr>
            <w:rStyle w:val="Hyperlink"/>
            <w:szCs w:val="20"/>
          </w:rPr>
          <w:t>Introduction/background notes</w:t>
        </w:r>
      </w:hyperlink>
    </w:p>
    <w:p w14:paraId="7235C989" w14:textId="77777777" w:rsidR="00111672" w:rsidRDefault="003D61EA" w:rsidP="00111672">
      <w:pPr>
        <w:rPr>
          <w:szCs w:val="20"/>
        </w:rPr>
      </w:pPr>
      <w:hyperlink w:anchor="Need" w:history="1">
        <w:r w:rsidR="00111672" w:rsidRPr="00FE4289">
          <w:rPr>
            <w:rStyle w:val="Hyperlink"/>
            <w:szCs w:val="20"/>
          </w:rPr>
          <w:t>What you need</w:t>
        </w:r>
      </w:hyperlink>
      <w:r w:rsidR="00111672" w:rsidRPr="00C876E5">
        <w:rPr>
          <w:szCs w:val="20"/>
        </w:rPr>
        <w:t xml:space="preserve"> </w:t>
      </w:r>
    </w:p>
    <w:p w14:paraId="148187E1" w14:textId="77777777" w:rsidR="00111672" w:rsidRPr="00C876E5" w:rsidRDefault="003D61EA" w:rsidP="00111672">
      <w:pPr>
        <w:rPr>
          <w:szCs w:val="20"/>
        </w:rPr>
      </w:pPr>
      <w:hyperlink w:anchor="Do" w:history="1">
        <w:r w:rsidR="00111672" w:rsidRPr="00FE4289">
          <w:rPr>
            <w:rStyle w:val="Hyperlink"/>
            <w:szCs w:val="20"/>
          </w:rPr>
          <w:t>What to do</w:t>
        </w:r>
      </w:hyperlink>
    </w:p>
    <w:p w14:paraId="484686FF" w14:textId="77777777" w:rsidR="00111672" w:rsidRPr="00D03E1B" w:rsidRDefault="00111672" w:rsidP="00111672">
      <w:pPr>
        <w:rPr>
          <w:rStyle w:val="Hyperlink"/>
          <w:szCs w:val="20"/>
        </w:rPr>
      </w:pPr>
      <w:r>
        <w:rPr>
          <w:szCs w:val="20"/>
        </w:rPr>
        <w:fldChar w:fldCharType="begin"/>
      </w:r>
      <w:r>
        <w:rPr>
          <w:szCs w:val="20"/>
        </w:rPr>
        <w:instrText xml:space="preserve"> HYPERLINK  \l "Questions" </w:instrText>
      </w:r>
      <w:r>
        <w:rPr>
          <w:szCs w:val="20"/>
        </w:rPr>
        <w:fldChar w:fldCharType="separate"/>
      </w:r>
      <w:r w:rsidRPr="00D03E1B">
        <w:rPr>
          <w:rStyle w:val="Hyperlink"/>
          <w:szCs w:val="20"/>
        </w:rPr>
        <w:t>Discussion questions</w:t>
      </w:r>
    </w:p>
    <w:p w14:paraId="54B5D0AF" w14:textId="77777777" w:rsidR="00111672" w:rsidRPr="00C876E5" w:rsidRDefault="00111672" w:rsidP="00111672">
      <w:pPr>
        <w:rPr>
          <w:szCs w:val="20"/>
        </w:rPr>
      </w:pPr>
      <w:r>
        <w:rPr>
          <w:szCs w:val="20"/>
        </w:rPr>
        <w:fldChar w:fldCharType="end"/>
      </w:r>
      <w:hyperlink w:anchor="Extension" w:history="1">
        <w:r w:rsidRPr="00FE4289">
          <w:rPr>
            <w:rStyle w:val="Hyperlink"/>
            <w:szCs w:val="20"/>
          </w:rPr>
          <w:t>Extension ideas</w:t>
        </w:r>
      </w:hyperlink>
    </w:p>
    <w:p w14:paraId="5E13A091" w14:textId="77777777" w:rsidR="00111672" w:rsidRPr="00D03E1B" w:rsidRDefault="00111672" w:rsidP="00111672">
      <w:pPr>
        <w:rPr>
          <w:rStyle w:val="Hyperlink"/>
          <w:b/>
          <w:szCs w:val="20"/>
          <w:lang w:val="en-AU"/>
        </w:rPr>
      </w:pPr>
      <w:r>
        <w:rPr>
          <w:szCs w:val="20"/>
        </w:rPr>
        <w:fldChar w:fldCharType="begin"/>
      </w:r>
      <w:r>
        <w:rPr>
          <w:szCs w:val="20"/>
        </w:rPr>
        <w:instrText xml:space="preserve"> HYPERLINK  \l "worksheet" </w:instrText>
      </w:r>
      <w:r>
        <w:rPr>
          <w:szCs w:val="20"/>
        </w:rPr>
        <w:fldChar w:fldCharType="separate"/>
      </w:r>
      <w:r w:rsidRPr="00D03E1B">
        <w:rPr>
          <w:rStyle w:val="Hyperlink"/>
          <w:szCs w:val="20"/>
        </w:rPr>
        <w:t>Student worksheet</w:t>
      </w:r>
    </w:p>
    <w:p w14:paraId="3203B018" w14:textId="77777777" w:rsidR="00111672" w:rsidRDefault="00111672" w:rsidP="00111672">
      <w:pPr>
        <w:rPr>
          <w:szCs w:val="20"/>
        </w:rPr>
      </w:pPr>
      <w:r>
        <w:rPr>
          <w:szCs w:val="20"/>
        </w:rPr>
        <w:fldChar w:fldCharType="end"/>
      </w:r>
    </w:p>
    <w:p w14:paraId="52876541" w14:textId="77777777" w:rsidR="00111672" w:rsidRPr="00C876E5" w:rsidRDefault="00111672" w:rsidP="00111672">
      <w:pPr>
        <w:rPr>
          <w:b/>
          <w:szCs w:val="20"/>
        </w:rPr>
      </w:pPr>
      <w:bookmarkStart w:id="1" w:name="Introduction"/>
      <w:bookmarkEnd w:id="1"/>
      <w:r w:rsidRPr="00C876E5">
        <w:rPr>
          <w:b/>
          <w:szCs w:val="20"/>
        </w:rPr>
        <w:t>Introduction/background</w:t>
      </w:r>
    </w:p>
    <w:p w14:paraId="2F4454F7"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6B7C6636"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In this activity, the specific gravity of quartz – one of the minerals present in granite – is determined. This is then compared to other granite minerals like mica, plagioclase feldspar and orthoclase feldspar along with gold and iron pyrites (fool’s gold). </w:t>
      </w:r>
    </w:p>
    <w:p w14:paraId="1E6A27B2"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698197BA"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The specific gravity of a substance is the ratio of its density to the density of a reference material, which is normally taken to be water. The density of a substance is its mass per unit volume. For example, with water, a mass of 1,000g of water has a volume of 1 litre or 1,000cm</w:t>
      </w:r>
      <w:r>
        <w:rPr>
          <w:rFonts w:ascii="Verdana" w:hAnsi="Verdana" w:cs="Helvetica"/>
          <w:sz w:val="20"/>
          <w:szCs w:val="20"/>
          <w:vertAlign w:val="superscript"/>
          <w:lang w:val="en-AU" w:eastAsia="en-US"/>
        </w:rPr>
        <w:t>3</w:t>
      </w:r>
      <w:r>
        <w:rPr>
          <w:rFonts w:ascii="Verdana" w:hAnsi="Verdana" w:cs="Helvetica"/>
          <w:sz w:val="20"/>
          <w:szCs w:val="20"/>
          <w:lang w:val="en-AU" w:eastAsia="en-US"/>
        </w:rPr>
        <w:t>. Its density is therefore 1g/cm</w:t>
      </w:r>
      <w:r>
        <w:rPr>
          <w:rFonts w:ascii="Verdana" w:hAnsi="Verdana" w:cs="Helvetica"/>
          <w:sz w:val="20"/>
          <w:szCs w:val="20"/>
          <w:vertAlign w:val="superscript"/>
          <w:lang w:val="en-AU" w:eastAsia="en-US"/>
        </w:rPr>
        <w:t>3</w:t>
      </w:r>
      <w:r>
        <w:rPr>
          <w:rFonts w:ascii="Verdana" w:hAnsi="Verdana" w:cs="Helvetica"/>
          <w:sz w:val="20"/>
          <w:szCs w:val="20"/>
          <w:lang w:val="en-AU" w:eastAsia="en-US"/>
        </w:rPr>
        <w:t>.</w:t>
      </w:r>
    </w:p>
    <w:p w14:paraId="2BA6A006"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3255DDC6" w14:textId="77777777" w:rsidR="00111672" w:rsidRPr="00183E5B"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Specific gravity has no units. For example, if a substance has a specific gravity of 10, it means that the substance is 10 times denser than water. </w:t>
      </w:r>
    </w:p>
    <w:p w14:paraId="2329B55F"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121FB915" w14:textId="77777777" w:rsidR="00111672" w:rsidRDefault="00111672" w:rsidP="00111672">
      <w:pPr>
        <w:rPr>
          <w:b/>
          <w:szCs w:val="20"/>
        </w:rPr>
      </w:pPr>
      <w:bookmarkStart w:id="2" w:name="Need"/>
      <w:bookmarkEnd w:id="2"/>
      <w:r w:rsidRPr="00FB23DB">
        <w:rPr>
          <w:b/>
          <w:szCs w:val="20"/>
        </w:rPr>
        <w:t>What you need</w:t>
      </w:r>
    </w:p>
    <w:p w14:paraId="660C1D9D" w14:textId="77777777" w:rsidR="00111672" w:rsidRPr="00FB23DB" w:rsidRDefault="00111672" w:rsidP="00111672">
      <w:pPr>
        <w:rPr>
          <w:b/>
          <w:szCs w:val="20"/>
        </w:rPr>
      </w:pPr>
    </w:p>
    <w:p w14:paraId="79D8F8B5" w14:textId="77777777" w:rsidR="00111672" w:rsidRPr="003043A2" w:rsidRDefault="00111672" w:rsidP="00111672">
      <w:pPr>
        <w:numPr>
          <w:ilvl w:val="0"/>
          <w:numId w:val="10"/>
        </w:numPr>
        <w:rPr>
          <w:b/>
          <w:szCs w:val="20"/>
        </w:rPr>
      </w:pPr>
      <w:r>
        <w:rPr>
          <w:szCs w:val="20"/>
        </w:rPr>
        <w:t>Small sample of quartz</w:t>
      </w:r>
    </w:p>
    <w:p w14:paraId="13CA2E71" w14:textId="77777777" w:rsidR="00111672" w:rsidRPr="003043A2" w:rsidRDefault="00111672" w:rsidP="00111672">
      <w:pPr>
        <w:numPr>
          <w:ilvl w:val="0"/>
          <w:numId w:val="10"/>
        </w:numPr>
        <w:rPr>
          <w:b/>
          <w:szCs w:val="20"/>
        </w:rPr>
      </w:pPr>
      <w:r>
        <w:rPr>
          <w:szCs w:val="20"/>
        </w:rPr>
        <w:t>Small samples of the minerals mica, plagioclase feldspar and orthoclase feldspar (and, if available, iron pyrites and gold)</w:t>
      </w:r>
    </w:p>
    <w:p w14:paraId="4E647419" w14:textId="77777777" w:rsidR="00111672" w:rsidRPr="00946C4D" w:rsidRDefault="00111672" w:rsidP="00111672">
      <w:pPr>
        <w:numPr>
          <w:ilvl w:val="0"/>
          <w:numId w:val="10"/>
        </w:numPr>
        <w:rPr>
          <w:szCs w:val="20"/>
        </w:rPr>
      </w:pPr>
      <w:r w:rsidRPr="00946C4D">
        <w:rPr>
          <w:szCs w:val="20"/>
        </w:rPr>
        <w:t>Spring balance 0</w:t>
      </w:r>
      <w:r>
        <w:rPr>
          <w:szCs w:val="20"/>
        </w:rPr>
        <w:t>–</w:t>
      </w:r>
      <w:r w:rsidRPr="00946C4D">
        <w:rPr>
          <w:szCs w:val="20"/>
        </w:rPr>
        <w:t>500g</w:t>
      </w:r>
    </w:p>
    <w:p w14:paraId="7EC6D51F" w14:textId="77777777" w:rsidR="00111672" w:rsidRPr="00CF7EF1" w:rsidRDefault="00111672" w:rsidP="00111672">
      <w:pPr>
        <w:numPr>
          <w:ilvl w:val="0"/>
          <w:numId w:val="10"/>
        </w:numPr>
        <w:rPr>
          <w:b/>
          <w:szCs w:val="20"/>
        </w:rPr>
      </w:pPr>
      <w:r>
        <w:rPr>
          <w:szCs w:val="20"/>
        </w:rPr>
        <w:t>Large bowl or glass trough</w:t>
      </w:r>
    </w:p>
    <w:p w14:paraId="2CEAF1A3" w14:textId="77777777" w:rsidR="00111672" w:rsidRPr="00FD01E9" w:rsidRDefault="00111672" w:rsidP="00111672">
      <w:pPr>
        <w:numPr>
          <w:ilvl w:val="0"/>
          <w:numId w:val="10"/>
        </w:numPr>
        <w:rPr>
          <w:b/>
          <w:szCs w:val="20"/>
        </w:rPr>
      </w:pPr>
      <w:r>
        <w:rPr>
          <w:szCs w:val="20"/>
        </w:rPr>
        <w:t>Light string</w:t>
      </w:r>
    </w:p>
    <w:p w14:paraId="4C44B8EE" w14:textId="77777777" w:rsidR="00111672" w:rsidRPr="00CF7EF1" w:rsidRDefault="00111672" w:rsidP="00111672">
      <w:pPr>
        <w:numPr>
          <w:ilvl w:val="0"/>
          <w:numId w:val="10"/>
        </w:numPr>
        <w:rPr>
          <w:b/>
          <w:szCs w:val="20"/>
        </w:rPr>
      </w:pPr>
      <w:r>
        <w:rPr>
          <w:szCs w:val="20"/>
        </w:rPr>
        <w:t>Copies of the student worksheet</w:t>
      </w:r>
    </w:p>
    <w:p w14:paraId="03775D94" w14:textId="77777777" w:rsidR="00111672" w:rsidRPr="003043A2" w:rsidRDefault="00111672" w:rsidP="00111672">
      <w:pPr>
        <w:ind w:left="360"/>
        <w:rPr>
          <w:b/>
          <w:szCs w:val="20"/>
        </w:rPr>
      </w:pPr>
    </w:p>
    <w:p w14:paraId="154DA573" w14:textId="77777777" w:rsidR="00111672" w:rsidRDefault="00111672" w:rsidP="00111672">
      <w:pPr>
        <w:rPr>
          <w:b/>
          <w:szCs w:val="20"/>
        </w:rPr>
      </w:pPr>
      <w:bookmarkStart w:id="3" w:name="Do"/>
      <w:bookmarkEnd w:id="3"/>
      <w:r w:rsidRPr="00C876E5">
        <w:rPr>
          <w:b/>
          <w:szCs w:val="20"/>
        </w:rPr>
        <w:t>What to do</w:t>
      </w:r>
    </w:p>
    <w:p w14:paraId="5ED0E678" w14:textId="77777777" w:rsidR="00111672" w:rsidRDefault="00111672" w:rsidP="00111672">
      <w:pPr>
        <w:rPr>
          <w:szCs w:val="20"/>
        </w:rPr>
      </w:pPr>
    </w:p>
    <w:p w14:paraId="0F26848E" w14:textId="77777777" w:rsidR="00111672" w:rsidRDefault="00111672" w:rsidP="00111672">
      <w:pPr>
        <w:numPr>
          <w:ilvl w:val="0"/>
          <w:numId w:val="21"/>
        </w:numPr>
        <w:rPr>
          <w:szCs w:val="20"/>
        </w:rPr>
      </w:pPr>
      <w:r w:rsidRPr="00FD01E9">
        <w:rPr>
          <w:szCs w:val="20"/>
        </w:rPr>
        <w:t xml:space="preserve">Make sure each student has samples of quartz, the necessary equipment and </w:t>
      </w:r>
      <w:r>
        <w:rPr>
          <w:szCs w:val="20"/>
        </w:rPr>
        <w:t xml:space="preserve">a copy of </w:t>
      </w:r>
      <w:r w:rsidRPr="00FD01E9">
        <w:rPr>
          <w:szCs w:val="20"/>
        </w:rPr>
        <w:t>the</w:t>
      </w:r>
      <w:r>
        <w:rPr>
          <w:szCs w:val="20"/>
        </w:rPr>
        <w:t xml:space="preserve"> </w:t>
      </w:r>
      <w:hyperlink w:anchor="worksheet" w:history="1">
        <w:r>
          <w:rPr>
            <w:rStyle w:val="Hyperlink"/>
            <w:szCs w:val="20"/>
          </w:rPr>
          <w:t>s</w:t>
        </w:r>
        <w:r w:rsidRPr="00FD01E9">
          <w:rPr>
            <w:rStyle w:val="Hyperlink"/>
            <w:szCs w:val="20"/>
          </w:rPr>
          <w:t>tudent worksheet</w:t>
        </w:r>
      </w:hyperlink>
      <w:r>
        <w:rPr>
          <w:szCs w:val="20"/>
        </w:rPr>
        <w:t>.</w:t>
      </w:r>
    </w:p>
    <w:p w14:paraId="53B7F1D5" w14:textId="77777777" w:rsidR="00111672" w:rsidRDefault="00111672" w:rsidP="00111672">
      <w:pPr>
        <w:rPr>
          <w:szCs w:val="20"/>
        </w:rPr>
      </w:pPr>
    </w:p>
    <w:p w14:paraId="52C565B3" w14:textId="77777777" w:rsidR="00111672" w:rsidRPr="00401487" w:rsidRDefault="00111672" w:rsidP="00111672">
      <w:pPr>
        <w:numPr>
          <w:ilvl w:val="0"/>
          <w:numId w:val="21"/>
        </w:numPr>
        <w:rPr>
          <w:szCs w:val="20"/>
        </w:rPr>
      </w:pPr>
      <w:r>
        <w:rPr>
          <w:szCs w:val="20"/>
        </w:rPr>
        <w:t>Discuss the concept of specific gravity.</w:t>
      </w:r>
    </w:p>
    <w:p w14:paraId="79DB5E63" w14:textId="77777777" w:rsidR="00111672" w:rsidRPr="00401487" w:rsidRDefault="00111672" w:rsidP="00111672">
      <w:pPr>
        <w:rPr>
          <w:szCs w:val="20"/>
        </w:rPr>
      </w:pPr>
    </w:p>
    <w:p w14:paraId="6FC0FE6A" w14:textId="77777777" w:rsidR="00111672" w:rsidRPr="00302314" w:rsidRDefault="00111672" w:rsidP="00111672">
      <w:pPr>
        <w:numPr>
          <w:ilvl w:val="0"/>
          <w:numId w:val="21"/>
        </w:numPr>
        <w:rPr>
          <w:szCs w:val="20"/>
        </w:rPr>
      </w:pPr>
      <w:r>
        <w:t>After step 5 of the student worksheet, discuss the students’ findings. (The specific gravity of quartz is 2.65.)</w:t>
      </w:r>
    </w:p>
    <w:p w14:paraId="59ED0B7D" w14:textId="77777777" w:rsidR="00111672" w:rsidRPr="00526EA1" w:rsidRDefault="00111672" w:rsidP="00111672">
      <w:pPr>
        <w:rPr>
          <w:szCs w:val="20"/>
        </w:rPr>
      </w:pPr>
    </w:p>
    <w:p w14:paraId="75DE924C" w14:textId="77777777" w:rsidR="00111672" w:rsidRPr="00401487" w:rsidRDefault="00111672" w:rsidP="00111672">
      <w:pPr>
        <w:numPr>
          <w:ilvl w:val="0"/>
          <w:numId w:val="21"/>
        </w:numPr>
        <w:rPr>
          <w:szCs w:val="20"/>
        </w:rPr>
      </w:pPr>
      <w:r>
        <w:t>Hand out samples of the other minerals. After step 7 of the student worksheet, discuss the students’ findings.</w:t>
      </w:r>
    </w:p>
    <w:p w14:paraId="769F7048" w14:textId="77777777" w:rsidR="00111672" w:rsidRDefault="00111672" w:rsidP="00111672">
      <w:pPr>
        <w:ind w:right="-673"/>
      </w:pPr>
    </w:p>
    <w:p w14:paraId="5DA371F7" w14:textId="77777777" w:rsidR="00111672" w:rsidRDefault="00111672" w:rsidP="00111672">
      <w:pPr>
        <w:ind w:right="-673"/>
        <w:rPr>
          <w:b/>
          <w:szCs w:val="20"/>
        </w:rPr>
      </w:pPr>
      <w:bookmarkStart w:id="4" w:name="Questions"/>
      <w:bookmarkEnd w:id="4"/>
      <w:r>
        <w:rPr>
          <w:b/>
          <w:szCs w:val="20"/>
        </w:rPr>
        <w:t>Discussion q</w:t>
      </w:r>
      <w:r w:rsidRPr="00D91992">
        <w:rPr>
          <w:b/>
          <w:szCs w:val="20"/>
        </w:rPr>
        <w:t>uestions</w:t>
      </w:r>
    </w:p>
    <w:p w14:paraId="6257FBA7" w14:textId="77777777" w:rsidR="00111672" w:rsidRDefault="00111672" w:rsidP="00111672">
      <w:pPr>
        <w:ind w:right="-673"/>
        <w:rPr>
          <w:b/>
          <w:szCs w:val="20"/>
        </w:rPr>
      </w:pPr>
    </w:p>
    <w:p w14:paraId="645E1739" w14:textId="77777777" w:rsidR="00111672" w:rsidRDefault="00111672" w:rsidP="00111672">
      <w:pPr>
        <w:numPr>
          <w:ilvl w:val="0"/>
          <w:numId w:val="22"/>
        </w:numPr>
        <w:rPr>
          <w:szCs w:val="20"/>
        </w:rPr>
      </w:pPr>
      <w:r>
        <w:rPr>
          <w:szCs w:val="20"/>
        </w:rPr>
        <w:t>Iron pyrites is known as ‘fool’s gold’ because of its similar appearance to gold. Imagine when tramping in a rocky area of New Zealand you come across a gold-coloured rocky material. How could you tell if it was gold? What follow up tests in a school laboratory could you do to confirm your opinion?</w:t>
      </w:r>
    </w:p>
    <w:p w14:paraId="08ADD295" w14:textId="77777777" w:rsidR="00111672" w:rsidRPr="00916387" w:rsidRDefault="00111672" w:rsidP="00111672">
      <w:pPr>
        <w:numPr>
          <w:ilvl w:val="0"/>
          <w:numId w:val="22"/>
        </w:numPr>
        <w:rPr>
          <w:szCs w:val="20"/>
        </w:rPr>
      </w:pPr>
      <w:r>
        <w:rPr>
          <w:szCs w:val="20"/>
        </w:rPr>
        <w:t>How would the specific gravity of gold-bearing quartz rock like that found at the Waihī gold mine in the North Island compare with pure quartz found elsewhere?</w:t>
      </w:r>
    </w:p>
    <w:p w14:paraId="0F744EB0" w14:textId="77777777" w:rsidR="00111672" w:rsidRPr="00916387" w:rsidRDefault="00111672" w:rsidP="00111672">
      <w:pPr>
        <w:ind w:left="360"/>
        <w:rPr>
          <w:szCs w:val="20"/>
        </w:rPr>
      </w:pPr>
    </w:p>
    <w:p w14:paraId="7BFB5E05" w14:textId="77777777" w:rsidR="00111672" w:rsidRDefault="00111672" w:rsidP="00111672">
      <w:pPr>
        <w:rPr>
          <w:b/>
          <w:szCs w:val="20"/>
        </w:rPr>
      </w:pPr>
      <w:bookmarkStart w:id="5" w:name="Extension"/>
      <w:bookmarkEnd w:id="5"/>
      <w:r w:rsidRPr="00CB0FD4">
        <w:rPr>
          <w:b/>
          <w:szCs w:val="20"/>
        </w:rPr>
        <w:t>Extension ideas</w:t>
      </w:r>
    </w:p>
    <w:p w14:paraId="7552ECD6" w14:textId="77777777" w:rsidR="00111672" w:rsidRPr="00CB0FD4" w:rsidRDefault="00111672" w:rsidP="00111672">
      <w:pPr>
        <w:rPr>
          <w:b/>
          <w:szCs w:val="20"/>
        </w:rPr>
      </w:pPr>
    </w:p>
    <w:p w14:paraId="0954B3E0" w14:textId="77777777" w:rsidR="00111672" w:rsidRDefault="00111672" w:rsidP="00111672">
      <w:pPr>
        <w:numPr>
          <w:ilvl w:val="0"/>
          <w:numId w:val="18"/>
        </w:numPr>
        <w:rPr>
          <w:szCs w:val="20"/>
        </w:rPr>
      </w:pPr>
      <w:r>
        <w:rPr>
          <w:szCs w:val="20"/>
        </w:rPr>
        <w:t>There are many other applications in which specific gravity can be used. Find out about any two of these and explain reasoning behind the use.</w:t>
      </w:r>
    </w:p>
    <w:p w14:paraId="11853BAB" w14:textId="77777777" w:rsidR="00111672" w:rsidRDefault="00111672" w:rsidP="00111672">
      <w:pPr>
        <w:numPr>
          <w:ilvl w:val="0"/>
          <w:numId w:val="18"/>
        </w:numPr>
        <w:rPr>
          <w:szCs w:val="20"/>
        </w:rPr>
      </w:pPr>
      <w:r>
        <w:rPr>
          <w:szCs w:val="20"/>
        </w:rPr>
        <w:t>Is the solid silver dinner service your parents inherited from a close relation indeed solid silver? Could it just be common electroplated nickel silver? Using the science ideas from this activity, design an experiment that would enable you to determine an answer to this question.</w:t>
      </w:r>
    </w:p>
    <w:p w14:paraId="3F4ED7CD" w14:textId="77777777" w:rsidR="00111672" w:rsidRDefault="00111672" w:rsidP="00111672">
      <w:pPr>
        <w:rPr>
          <w:b/>
          <w:szCs w:val="20"/>
        </w:rPr>
      </w:pPr>
      <w:r>
        <w:rPr>
          <w:szCs w:val="20"/>
        </w:rPr>
        <w:br w:type="page"/>
      </w:r>
      <w:bookmarkStart w:id="6" w:name="worksheet"/>
      <w:bookmarkEnd w:id="6"/>
      <w:r>
        <w:rPr>
          <w:b/>
          <w:szCs w:val="20"/>
        </w:rPr>
        <w:lastRenderedPageBreak/>
        <w:t>Student worksheet – Specific gravity of quartz</w:t>
      </w:r>
    </w:p>
    <w:p w14:paraId="4EB9B4A7" w14:textId="77777777" w:rsidR="00111672" w:rsidRDefault="00111672" w:rsidP="00111672">
      <w:pPr>
        <w:rPr>
          <w:b/>
          <w:szCs w:val="20"/>
        </w:rPr>
      </w:pPr>
    </w:p>
    <w:p w14:paraId="45545B0F"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The specific gravity of a substance is the ratio of its density to the density of a reference material, which is normally taken to be water. </w:t>
      </w:r>
    </w:p>
    <w:p w14:paraId="503639F8"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4B5AD209"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Specific gravity has no units. For example, if a substance has a specific gravity of 10, it means that the substance is 10 times denser than water. </w:t>
      </w:r>
    </w:p>
    <w:p w14:paraId="76386F2B"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6E0DC4E5" w14:textId="77777777" w:rsidR="00111672" w:rsidRPr="00183E5B" w:rsidRDefault="00A366A1" w:rsidP="00111672">
      <w:pPr>
        <w:pStyle w:val="NormalWeb"/>
        <w:spacing w:before="0" w:beforeAutospacing="0" w:after="0" w:afterAutospacing="0"/>
        <w:rPr>
          <w:rFonts w:ascii="Verdana" w:hAnsi="Verdana" w:cs="Helvetica"/>
          <w:sz w:val="20"/>
          <w:szCs w:val="20"/>
          <w:lang w:val="en-AU" w:eastAsia="en-US"/>
        </w:rPr>
      </w:pPr>
      <w:r w:rsidRPr="002D3CBD">
        <w:rPr>
          <w:rFonts w:ascii="Verdana" w:hAnsi="Verdana" w:cs="Helvetica"/>
          <w:noProof/>
          <w:sz w:val="20"/>
          <w:szCs w:val="20"/>
          <w:lang w:val="en-US" w:eastAsia="en-US"/>
        </w:rPr>
        <w:drawing>
          <wp:inline distT="0" distB="0" distL="0" distR="0" wp14:anchorId="589C0B09" wp14:editId="756034E1">
            <wp:extent cx="4076700" cy="6086475"/>
            <wp:effectExtent l="0" t="0" r="0" b="0"/>
            <wp:docPr id="1" name="Picture 1" descr="CER_TEA_ACT_02_SpecificGravityOfQuartz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_TEA_ACT_02_SpecificGravityOfQuartz_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6086475"/>
                    </a:xfrm>
                    <a:prstGeom prst="rect">
                      <a:avLst/>
                    </a:prstGeom>
                    <a:noFill/>
                    <a:ln>
                      <a:noFill/>
                    </a:ln>
                  </pic:spPr>
                </pic:pic>
              </a:graphicData>
            </a:graphic>
          </wp:inline>
        </w:drawing>
      </w:r>
    </w:p>
    <w:p w14:paraId="21478432" w14:textId="77777777" w:rsidR="00111672" w:rsidRPr="00FB23DB"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 </w:t>
      </w:r>
    </w:p>
    <w:p w14:paraId="4FA74782" w14:textId="77777777" w:rsidR="00111672" w:rsidRDefault="00111672" w:rsidP="00111672">
      <w:pPr>
        <w:numPr>
          <w:ilvl w:val="0"/>
          <w:numId w:val="20"/>
        </w:numPr>
        <w:ind w:left="360"/>
      </w:pPr>
      <w:r>
        <w:t>Attach a length of string to the quartz sample.</w:t>
      </w:r>
    </w:p>
    <w:p w14:paraId="5F6F1BCB" w14:textId="77777777" w:rsidR="00111672" w:rsidRPr="001F1B7D" w:rsidRDefault="00111672" w:rsidP="00111672">
      <w:pPr>
        <w:numPr>
          <w:ilvl w:val="0"/>
          <w:numId w:val="20"/>
        </w:numPr>
        <w:ind w:left="360"/>
      </w:pPr>
      <w:r>
        <w:t xml:space="preserve">Suspend the quartz from a spring balance and determine the mass of the quartz. </w:t>
      </w:r>
    </w:p>
    <w:p w14:paraId="448A2538" w14:textId="77777777" w:rsidR="00111672" w:rsidRDefault="00111672" w:rsidP="00111672">
      <w:pPr>
        <w:numPr>
          <w:ilvl w:val="0"/>
          <w:numId w:val="20"/>
        </w:numPr>
        <w:ind w:left="360"/>
      </w:pPr>
      <w:r>
        <w:t>Lower the suspended quartz into a bowl of tap water making sure that the quartz is completely submerged and not touching the bottom or sides of the bowl.</w:t>
      </w:r>
    </w:p>
    <w:p w14:paraId="02C2B375" w14:textId="77777777" w:rsidR="00111672" w:rsidRDefault="00111672" w:rsidP="00111672">
      <w:pPr>
        <w:numPr>
          <w:ilvl w:val="0"/>
          <w:numId w:val="20"/>
        </w:numPr>
        <w:ind w:left="360"/>
      </w:pPr>
      <w:r>
        <w:t>Determine the mass of the quartz submerged in tap water</w:t>
      </w:r>
    </w:p>
    <w:p w14:paraId="026B4861" w14:textId="77777777" w:rsidR="00111672" w:rsidRDefault="00111672" w:rsidP="00111672">
      <w:pPr>
        <w:numPr>
          <w:ilvl w:val="0"/>
          <w:numId w:val="20"/>
        </w:numPr>
        <w:ind w:left="360"/>
      </w:pPr>
      <w:r>
        <w:t>Calculate the specific gravity (SG) of the quartz by applying the following formula:</w:t>
      </w:r>
      <w:r>
        <w:br/>
        <w:t>SG = mass of quartz in air/(mass of quartz in air – mass of quartz in water)</w:t>
      </w:r>
    </w:p>
    <w:p w14:paraId="68C45F8B" w14:textId="77777777" w:rsidR="00111672" w:rsidRPr="005A06DF" w:rsidRDefault="00111672" w:rsidP="00111672">
      <w:pPr>
        <w:rPr>
          <w:szCs w:val="20"/>
        </w:rPr>
      </w:pPr>
    </w:p>
    <w:p w14:paraId="50925213" w14:textId="77777777" w:rsidR="00111672" w:rsidRPr="005A06DF" w:rsidRDefault="00111672" w:rsidP="00111672">
      <w:pPr>
        <w:rPr>
          <w:szCs w:val="20"/>
        </w:rPr>
      </w:pPr>
    </w:p>
    <w:p w14:paraId="18637B65" w14:textId="77777777" w:rsidR="00111672" w:rsidRPr="005A06DF" w:rsidRDefault="00111672" w:rsidP="00111672">
      <w:pPr>
        <w:rPr>
          <w:szCs w:val="20"/>
        </w:rPr>
      </w:pPr>
    </w:p>
    <w:p w14:paraId="3B819906" w14:textId="77777777" w:rsidR="00111672" w:rsidRPr="005A06DF" w:rsidRDefault="00111672" w:rsidP="00111672">
      <w:pPr>
        <w:rPr>
          <w:szCs w:val="20"/>
        </w:rPr>
      </w:pPr>
    </w:p>
    <w:p w14:paraId="75D85205" w14:textId="77777777" w:rsidR="00111672" w:rsidRPr="005A06DF" w:rsidRDefault="00111672" w:rsidP="00111672">
      <w:pPr>
        <w:rPr>
          <w:szCs w:val="20"/>
        </w:rPr>
      </w:pPr>
    </w:p>
    <w:p w14:paraId="06CF77AA" w14:textId="77777777" w:rsidR="00111672" w:rsidRPr="001A28B2" w:rsidRDefault="00111672" w:rsidP="00111672">
      <w:pPr>
        <w:rPr>
          <w:szCs w:val="20"/>
        </w:rPr>
      </w:pP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38"/>
        <w:gridCol w:w="1542"/>
        <w:gridCol w:w="993"/>
      </w:tblGrid>
      <w:tr w:rsidR="00111672" w14:paraId="5B0B9C98" w14:textId="77777777">
        <w:tc>
          <w:tcPr>
            <w:tcW w:w="7338" w:type="dxa"/>
            <w:tcBorders>
              <w:top w:val="single" w:sz="4" w:space="0" w:color="auto"/>
              <w:left w:val="single" w:sz="4" w:space="0" w:color="auto"/>
            </w:tcBorders>
          </w:tcPr>
          <w:p w14:paraId="602E7352" w14:textId="77777777" w:rsidR="00111672" w:rsidRDefault="00111672" w:rsidP="00111672"/>
          <w:p w14:paraId="710B0453" w14:textId="77777777" w:rsidR="00111672" w:rsidRDefault="00111672" w:rsidP="00111672">
            <w:r>
              <w:t>Mass of quartz in air</w:t>
            </w:r>
          </w:p>
        </w:tc>
        <w:tc>
          <w:tcPr>
            <w:tcW w:w="1542" w:type="dxa"/>
            <w:tcBorders>
              <w:top w:val="single" w:sz="4" w:space="0" w:color="auto"/>
              <w:bottom w:val="single" w:sz="4" w:space="0" w:color="auto"/>
            </w:tcBorders>
          </w:tcPr>
          <w:p w14:paraId="4EB1E7CD" w14:textId="77777777" w:rsidR="00111672" w:rsidRDefault="00111672" w:rsidP="00111672"/>
        </w:tc>
        <w:tc>
          <w:tcPr>
            <w:tcW w:w="993" w:type="dxa"/>
            <w:tcBorders>
              <w:top w:val="single" w:sz="4" w:space="0" w:color="auto"/>
              <w:right w:val="single" w:sz="4" w:space="0" w:color="auto"/>
            </w:tcBorders>
          </w:tcPr>
          <w:p w14:paraId="1A1682DC" w14:textId="77777777" w:rsidR="00111672" w:rsidRDefault="00111672" w:rsidP="00111672"/>
          <w:p w14:paraId="6CA6EE29" w14:textId="77777777" w:rsidR="00111672" w:rsidRDefault="00111672" w:rsidP="00111672">
            <w:r>
              <w:t>grams</w:t>
            </w:r>
          </w:p>
        </w:tc>
      </w:tr>
      <w:tr w:rsidR="00111672" w14:paraId="63FBC3C1" w14:textId="77777777">
        <w:tc>
          <w:tcPr>
            <w:tcW w:w="7338" w:type="dxa"/>
            <w:tcBorders>
              <w:left w:val="single" w:sz="4" w:space="0" w:color="auto"/>
            </w:tcBorders>
          </w:tcPr>
          <w:p w14:paraId="67835D3D" w14:textId="77777777" w:rsidR="00111672" w:rsidRDefault="00111672" w:rsidP="00111672"/>
          <w:p w14:paraId="359CEE30" w14:textId="77777777" w:rsidR="00111672" w:rsidRDefault="00111672" w:rsidP="00111672">
            <w:r>
              <w:t>Mass of quartz in water</w:t>
            </w:r>
          </w:p>
        </w:tc>
        <w:tc>
          <w:tcPr>
            <w:tcW w:w="1542" w:type="dxa"/>
            <w:tcBorders>
              <w:top w:val="single" w:sz="4" w:space="0" w:color="auto"/>
              <w:bottom w:val="single" w:sz="4" w:space="0" w:color="auto"/>
            </w:tcBorders>
          </w:tcPr>
          <w:p w14:paraId="606A7908" w14:textId="77777777" w:rsidR="00111672" w:rsidRDefault="00111672" w:rsidP="00111672"/>
        </w:tc>
        <w:tc>
          <w:tcPr>
            <w:tcW w:w="993" w:type="dxa"/>
            <w:tcBorders>
              <w:right w:val="single" w:sz="4" w:space="0" w:color="auto"/>
            </w:tcBorders>
          </w:tcPr>
          <w:p w14:paraId="6FB220B0" w14:textId="77777777" w:rsidR="00111672" w:rsidRDefault="00111672" w:rsidP="00111672"/>
          <w:p w14:paraId="1F9CF8A6" w14:textId="77777777" w:rsidR="00111672" w:rsidRDefault="00111672" w:rsidP="00111672">
            <w:r w:rsidRPr="00E91D7C">
              <w:t>grams</w:t>
            </w:r>
          </w:p>
        </w:tc>
      </w:tr>
      <w:tr w:rsidR="00111672" w14:paraId="63D46012" w14:textId="77777777">
        <w:tc>
          <w:tcPr>
            <w:tcW w:w="7338" w:type="dxa"/>
            <w:tcBorders>
              <w:left w:val="single" w:sz="4" w:space="0" w:color="auto"/>
            </w:tcBorders>
          </w:tcPr>
          <w:p w14:paraId="4C91BFF2" w14:textId="77777777" w:rsidR="00111672" w:rsidRDefault="00111672" w:rsidP="00111672"/>
          <w:p w14:paraId="0E7D71EC" w14:textId="77777777" w:rsidR="00111672" w:rsidRDefault="00111672" w:rsidP="00111672">
            <w:r>
              <w:t>Difference in mass (mass of quartz in air – mass of quartz in water)</w:t>
            </w:r>
          </w:p>
        </w:tc>
        <w:tc>
          <w:tcPr>
            <w:tcW w:w="1542" w:type="dxa"/>
            <w:tcBorders>
              <w:top w:val="single" w:sz="4" w:space="0" w:color="auto"/>
              <w:bottom w:val="single" w:sz="4" w:space="0" w:color="auto"/>
            </w:tcBorders>
          </w:tcPr>
          <w:p w14:paraId="7D881763" w14:textId="77777777" w:rsidR="00111672" w:rsidRDefault="00111672" w:rsidP="00111672"/>
        </w:tc>
        <w:tc>
          <w:tcPr>
            <w:tcW w:w="993" w:type="dxa"/>
            <w:tcBorders>
              <w:right w:val="single" w:sz="4" w:space="0" w:color="auto"/>
            </w:tcBorders>
          </w:tcPr>
          <w:p w14:paraId="68F63B0E" w14:textId="77777777" w:rsidR="00111672" w:rsidRDefault="00111672" w:rsidP="00111672"/>
          <w:p w14:paraId="49447F4C" w14:textId="77777777" w:rsidR="00111672" w:rsidRDefault="00111672" w:rsidP="00111672">
            <w:r w:rsidRPr="00E91D7C">
              <w:t>grams</w:t>
            </w:r>
          </w:p>
        </w:tc>
      </w:tr>
      <w:tr w:rsidR="00111672" w14:paraId="16F864F1" w14:textId="77777777">
        <w:tc>
          <w:tcPr>
            <w:tcW w:w="7338" w:type="dxa"/>
            <w:tcBorders>
              <w:left w:val="single" w:sz="4" w:space="0" w:color="auto"/>
            </w:tcBorders>
          </w:tcPr>
          <w:p w14:paraId="65768E18" w14:textId="77777777" w:rsidR="00111672" w:rsidRDefault="00111672" w:rsidP="00111672"/>
          <w:p w14:paraId="10361CB7" w14:textId="77777777" w:rsidR="00111672" w:rsidRDefault="00111672" w:rsidP="00111672">
            <w:r>
              <w:t xml:space="preserve">Specific gravity (mass of quartz/difference in mass) </w:t>
            </w:r>
          </w:p>
        </w:tc>
        <w:tc>
          <w:tcPr>
            <w:tcW w:w="1542" w:type="dxa"/>
            <w:tcBorders>
              <w:top w:val="single" w:sz="4" w:space="0" w:color="auto"/>
              <w:bottom w:val="single" w:sz="4" w:space="0" w:color="auto"/>
            </w:tcBorders>
          </w:tcPr>
          <w:p w14:paraId="06F864D6" w14:textId="77777777" w:rsidR="00111672" w:rsidRDefault="00111672" w:rsidP="00111672"/>
        </w:tc>
        <w:tc>
          <w:tcPr>
            <w:tcW w:w="993" w:type="dxa"/>
            <w:tcBorders>
              <w:right w:val="single" w:sz="4" w:space="0" w:color="auto"/>
            </w:tcBorders>
          </w:tcPr>
          <w:p w14:paraId="02411CBE" w14:textId="77777777" w:rsidR="00111672" w:rsidRDefault="00111672" w:rsidP="00111672"/>
        </w:tc>
      </w:tr>
      <w:tr w:rsidR="00111672" w14:paraId="276CB2E3" w14:textId="77777777">
        <w:tc>
          <w:tcPr>
            <w:tcW w:w="7338" w:type="dxa"/>
            <w:tcBorders>
              <w:left w:val="single" w:sz="4" w:space="0" w:color="auto"/>
              <w:bottom w:val="single" w:sz="4" w:space="0" w:color="auto"/>
            </w:tcBorders>
          </w:tcPr>
          <w:p w14:paraId="524522B5" w14:textId="77777777" w:rsidR="00111672" w:rsidRDefault="00111672" w:rsidP="00111672"/>
        </w:tc>
        <w:tc>
          <w:tcPr>
            <w:tcW w:w="1542" w:type="dxa"/>
            <w:tcBorders>
              <w:top w:val="single" w:sz="4" w:space="0" w:color="auto"/>
              <w:bottom w:val="single" w:sz="4" w:space="0" w:color="auto"/>
            </w:tcBorders>
          </w:tcPr>
          <w:p w14:paraId="41514A3A" w14:textId="77777777" w:rsidR="00111672" w:rsidRDefault="00111672" w:rsidP="00111672"/>
        </w:tc>
        <w:tc>
          <w:tcPr>
            <w:tcW w:w="993" w:type="dxa"/>
            <w:tcBorders>
              <w:bottom w:val="single" w:sz="4" w:space="0" w:color="auto"/>
              <w:right w:val="single" w:sz="4" w:space="0" w:color="auto"/>
            </w:tcBorders>
          </w:tcPr>
          <w:p w14:paraId="6699700E" w14:textId="77777777" w:rsidR="00111672" w:rsidRDefault="00111672" w:rsidP="00111672"/>
        </w:tc>
      </w:tr>
    </w:tbl>
    <w:p w14:paraId="1017743A" w14:textId="77777777" w:rsidR="00111672" w:rsidRDefault="00111672" w:rsidP="00111672"/>
    <w:p w14:paraId="6ED28CAA" w14:textId="77777777" w:rsidR="00111672" w:rsidRDefault="00111672" w:rsidP="00111672">
      <w:pPr>
        <w:numPr>
          <w:ilvl w:val="0"/>
          <w:numId w:val="20"/>
        </w:numPr>
        <w:ind w:left="360"/>
      </w:pPr>
      <w:r>
        <w:t>Compare the specific gravity of quartz with those for mica, plagioclase feldspar and orthoclase feldspar as well as iron pyrites and gold.</w:t>
      </w:r>
    </w:p>
    <w:p w14:paraId="1E6B4D6C" w14:textId="77777777" w:rsidR="00111672" w:rsidRDefault="00111672" w:rsidP="00111672"/>
    <w:tbl>
      <w:tblPr>
        <w:tblStyle w:val="TableGrid"/>
        <w:tblW w:w="0" w:type="auto"/>
        <w:tblLook w:val="01E0" w:firstRow="1" w:lastRow="1" w:firstColumn="1" w:lastColumn="1" w:noHBand="0" w:noVBand="0"/>
      </w:tblPr>
      <w:tblGrid>
        <w:gridCol w:w="2943"/>
        <w:gridCol w:w="1985"/>
      </w:tblGrid>
      <w:tr w:rsidR="00111672" w14:paraId="217ACC2F" w14:textId="77777777">
        <w:tc>
          <w:tcPr>
            <w:tcW w:w="2943" w:type="dxa"/>
          </w:tcPr>
          <w:p w14:paraId="1585DEDC" w14:textId="77777777" w:rsidR="00111672" w:rsidRPr="00D03E1B" w:rsidRDefault="00111672" w:rsidP="00111672">
            <w:pPr>
              <w:rPr>
                <w:b/>
              </w:rPr>
            </w:pPr>
            <w:r w:rsidRPr="00D03E1B">
              <w:rPr>
                <w:b/>
              </w:rPr>
              <w:t>Mineral name</w:t>
            </w:r>
          </w:p>
        </w:tc>
        <w:tc>
          <w:tcPr>
            <w:tcW w:w="1985" w:type="dxa"/>
          </w:tcPr>
          <w:p w14:paraId="4BC3615B" w14:textId="77777777" w:rsidR="00111672" w:rsidRPr="00D03E1B" w:rsidRDefault="00111672" w:rsidP="00111672">
            <w:pPr>
              <w:rPr>
                <w:b/>
              </w:rPr>
            </w:pPr>
            <w:r w:rsidRPr="00D03E1B">
              <w:rPr>
                <w:b/>
              </w:rPr>
              <w:t>Specific gravity</w:t>
            </w:r>
          </w:p>
        </w:tc>
      </w:tr>
      <w:tr w:rsidR="00111672" w14:paraId="041CFEA5" w14:textId="77777777">
        <w:tc>
          <w:tcPr>
            <w:tcW w:w="2943" w:type="dxa"/>
          </w:tcPr>
          <w:p w14:paraId="7EF7DEAB" w14:textId="77777777" w:rsidR="00111672" w:rsidRPr="00D03E1B" w:rsidRDefault="00111672" w:rsidP="00111672">
            <w:r w:rsidRPr="00D03E1B">
              <w:t>Quartz</w:t>
            </w:r>
          </w:p>
        </w:tc>
        <w:tc>
          <w:tcPr>
            <w:tcW w:w="1985" w:type="dxa"/>
          </w:tcPr>
          <w:p w14:paraId="06263DC9" w14:textId="77777777" w:rsidR="00111672" w:rsidRPr="00D03E1B" w:rsidRDefault="00111672" w:rsidP="00111672"/>
        </w:tc>
      </w:tr>
      <w:tr w:rsidR="00111672" w14:paraId="576B8598" w14:textId="77777777">
        <w:tc>
          <w:tcPr>
            <w:tcW w:w="2943" w:type="dxa"/>
          </w:tcPr>
          <w:p w14:paraId="6761C360" w14:textId="77777777" w:rsidR="00111672" w:rsidRPr="00D03E1B" w:rsidRDefault="00111672" w:rsidP="00111672">
            <w:r w:rsidRPr="00D03E1B">
              <w:t>Mica</w:t>
            </w:r>
          </w:p>
        </w:tc>
        <w:tc>
          <w:tcPr>
            <w:tcW w:w="1985" w:type="dxa"/>
          </w:tcPr>
          <w:p w14:paraId="2C9125FF" w14:textId="77777777" w:rsidR="00111672" w:rsidRPr="00D03E1B" w:rsidRDefault="00111672" w:rsidP="00111672">
            <w:r w:rsidRPr="00D03E1B">
              <w:t>2.88</w:t>
            </w:r>
          </w:p>
        </w:tc>
      </w:tr>
      <w:tr w:rsidR="00111672" w14:paraId="2D614E23" w14:textId="77777777">
        <w:tc>
          <w:tcPr>
            <w:tcW w:w="2943" w:type="dxa"/>
          </w:tcPr>
          <w:p w14:paraId="52F10FE1" w14:textId="77777777" w:rsidR="00111672" w:rsidRPr="00D03E1B" w:rsidRDefault="00111672" w:rsidP="00111672">
            <w:r w:rsidRPr="00D03E1B">
              <w:t>Plagioclase</w:t>
            </w:r>
          </w:p>
        </w:tc>
        <w:tc>
          <w:tcPr>
            <w:tcW w:w="1985" w:type="dxa"/>
          </w:tcPr>
          <w:p w14:paraId="04FB07A7" w14:textId="77777777" w:rsidR="00111672" w:rsidRPr="00D03E1B" w:rsidRDefault="00111672" w:rsidP="00111672">
            <w:r w:rsidRPr="00D03E1B">
              <w:t>2.6–2.8</w:t>
            </w:r>
          </w:p>
        </w:tc>
      </w:tr>
      <w:tr w:rsidR="00111672" w14:paraId="7C5D15A7" w14:textId="77777777">
        <w:tc>
          <w:tcPr>
            <w:tcW w:w="2943" w:type="dxa"/>
          </w:tcPr>
          <w:p w14:paraId="08FF5E99" w14:textId="77777777" w:rsidR="00111672" w:rsidRPr="00D03E1B" w:rsidRDefault="00111672" w:rsidP="00111672">
            <w:r w:rsidRPr="00D03E1B">
              <w:t>Orthoclase</w:t>
            </w:r>
          </w:p>
        </w:tc>
        <w:tc>
          <w:tcPr>
            <w:tcW w:w="1985" w:type="dxa"/>
          </w:tcPr>
          <w:p w14:paraId="47DCCACE" w14:textId="77777777" w:rsidR="00111672" w:rsidRPr="00D03E1B" w:rsidRDefault="00111672" w:rsidP="00111672">
            <w:r w:rsidRPr="00D03E1B">
              <w:t>2.6</w:t>
            </w:r>
          </w:p>
        </w:tc>
      </w:tr>
      <w:tr w:rsidR="00111672" w14:paraId="3C76CB44" w14:textId="77777777">
        <w:tc>
          <w:tcPr>
            <w:tcW w:w="2943" w:type="dxa"/>
          </w:tcPr>
          <w:p w14:paraId="1A149930" w14:textId="77777777" w:rsidR="00111672" w:rsidRPr="00D03E1B" w:rsidRDefault="00111672" w:rsidP="00111672">
            <w:r w:rsidRPr="00D03E1B">
              <w:t>Iron pyrites (fool</w:t>
            </w:r>
            <w:r>
              <w:t>’</w:t>
            </w:r>
            <w:r w:rsidRPr="00D03E1B">
              <w:t>s gold)</w:t>
            </w:r>
          </w:p>
        </w:tc>
        <w:tc>
          <w:tcPr>
            <w:tcW w:w="1985" w:type="dxa"/>
          </w:tcPr>
          <w:p w14:paraId="2345811C" w14:textId="77777777" w:rsidR="00111672" w:rsidRPr="00D03E1B" w:rsidRDefault="00111672" w:rsidP="00111672">
            <w:r w:rsidRPr="00D03E1B">
              <w:t>5.0</w:t>
            </w:r>
          </w:p>
        </w:tc>
      </w:tr>
      <w:tr w:rsidR="00111672" w14:paraId="7EAAC028" w14:textId="77777777">
        <w:tc>
          <w:tcPr>
            <w:tcW w:w="2943" w:type="dxa"/>
          </w:tcPr>
          <w:p w14:paraId="3460BD1B" w14:textId="77777777" w:rsidR="00111672" w:rsidRPr="00D03E1B" w:rsidRDefault="00111672" w:rsidP="00111672">
            <w:r w:rsidRPr="00D03E1B">
              <w:t>Gold</w:t>
            </w:r>
          </w:p>
        </w:tc>
        <w:tc>
          <w:tcPr>
            <w:tcW w:w="1985" w:type="dxa"/>
          </w:tcPr>
          <w:p w14:paraId="7E4380A2" w14:textId="77777777" w:rsidR="00111672" w:rsidRPr="00D03E1B" w:rsidRDefault="00111672" w:rsidP="00111672">
            <w:r w:rsidRPr="00D03E1B">
              <w:t>19.3</w:t>
            </w:r>
          </w:p>
        </w:tc>
      </w:tr>
    </w:tbl>
    <w:p w14:paraId="779AC1BA" w14:textId="77777777" w:rsidR="00111672" w:rsidRPr="00302314" w:rsidRDefault="00111672" w:rsidP="00111672"/>
    <w:p w14:paraId="0706FEE0" w14:textId="77777777" w:rsidR="00111672" w:rsidRPr="00302314" w:rsidRDefault="00111672" w:rsidP="00111672">
      <w:pPr>
        <w:numPr>
          <w:ilvl w:val="0"/>
          <w:numId w:val="20"/>
        </w:numPr>
        <w:ind w:left="360"/>
        <w:rPr>
          <w:szCs w:val="20"/>
        </w:rPr>
      </w:pPr>
      <w:r w:rsidRPr="00302314">
        <w:t xml:space="preserve">Inspect similar sized samples of </w:t>
      </w:r>
      <w:r w:rsidRPr="00302314">
        <w:rPr>
          <w:szCs w:val="20"/>
        </w:rPr>
        <w:t>mica, plagioclase feldspar and orthoclase feldspar</w:t>
      </w:r>
      <w:r w:rsidRPr="00302314">
        <w:t xml:space="preserve"> as well as gold and iron pyrites (if available) and note how heavy/light they feel compared to quartz.</w:t>
      </w:r>
    </w:p>
    <w:p w14:paraId="326C860E" w14:textId="77777777" w:rsidR="00111672" w:rsidRDefault="00111672" w:rsidP="00111672"/>
    <w:p w14:paraId="085FA726" w14:textId="77777777" w:rsidR="00111672" w:rsidRPr="00545559" w:rsidRDefault="00111672" w:rsidP="00111672"/>
    <w:sectPr w:rsidR="00111672" w:rsidRPr="00545559" w:rsidSect="00111672">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F3416" w14:textId="77777777" w:rsidR="003D61EA" w:rsidRDefault="003D61EA">
      <w:r>
        <w:separator/>
      </w:r>
    </w:p>
  </w:endnote>
  <w:endnote w:type="continuationSeparator" w:id="0">
    <w:p w14:paraId="6676B449" w14:textId="77777777" w:rsidR="003D61EA" w:rsidRDefault="003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46FD" w14:textId="77777777" w:rsidR="00A366A1" w:rsidRDefault="00A366A1" w:rsidP="00A36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1E1">
      <w:rPr>
        <w:rStyle w:val="PageNumber"/>
        <w:noProof/>
      </w:rPr>
      <w:t>1</w:t>
    </w:r>
    <w:r>
      <w:rPr>
        <w:rStyle w:val="PageNumber"/>
      </w:rPr>
      <w:fldChar w:fldCharType="end"/>
    </w:r>
  </w:p>
  <w:p w14:paraId="45355DE2" w14:textId="77777777" w:rsidR="00A366A1" w:rsidRPr="0007046E" w:rsidRDefault="00A366A1" w:rsidP="00A366A1">
    <w:pPr>
      <w:pStyle w:val="Header"/>
      <w:numPr>
        <w:ilvl w:val="0"/>
        <w:numId w:val="0"/>
      </w:numPr>
      <w:rPr>
        <w:rFonts w:cs="Arial"/>
        <w:color w:val="3366FF"/>
      </w:rPr>
    </w:pPr>
    <w:r w:rsidRPr="0007046E">
      <w:rPr>
        <w:rFonts w:cs="Arial"/>
        <w:color w:val="3366FF"/>
      </w:rPr>
      <w:t>© Copyright. Science Learning Hub, The University of Waikato.</w:t>
    </w:r>
  </w:p>
  <w:p w14:paraId="2B5F7840" w14:textId="77777777" w:rsidR="00111672" w:rsidRPr="00A366A1" w:rsidRDefault="003D61EA" w:rsidP="00A366A1">
    <w:pPr>
      <w:pStyle w:val="Footer"/>
      <w:ind w:right="360"/>
    </w:pPr>
    <w:hyperlink r:id="rId1" w:tooltip="Ctrl+Click or tap to follow the link" w:history="1">
      <w:r w:rsidR="00A366A1"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83EE" w14:textId="77777777" w:rsidR="003D61EA" w:rsidRDefault="003D61EA">
      <w:r>
        <w:separator/>
      </w:r>
    </w:p>
  </w:footnote>
  <w:footnote w:type="continuationSeparator" w:id="0">
    <w:p w14:paraId="3CFC8CFD" w14:textId="77777777" w:rsidR="003D61EA" w:rsidRDefault="003D6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366A1" w:rsidRPr="00251C18" w14:paraId="2CEAD305" w14:textId="77777777" w:rsidTr="00705272">
      <w:tc>
        <w:tcPr>
          <w:tcW w:w="1980" w:type="dxa"/>
          <w:shd w:val="clear" w:color="auto" w:fill="auto"/>
        </w:tcPr>
        <w:p w14:paraId="0DE5669B" w14:textId="77777777" w:rsidR="00A366A1" w:rsidRPr="00251C18" w:rsidRDefault="00A366A1" w:rsidP="00A366A1">
          <w:pPr>
            <w:pStyle w:val="Header"/>
            <w:rPr>
              <w:rFonts w:cs="Arial"/>
              <w:color w:val="3366FF"/>
            </w:rPr>
          </w:pPr>
        </w:p>
      </w:tc>
      <w:tc>
        <w:tcPr>
          <w:tcW w:w="7654" w:type="dxa"/>
          <w:shd w:val="clear" w:color="auto" w:fill="auto"/>
          <w:vAlign w:val="center"/>
        </w:tcPr>
        <w:p w14:paraId="349E0321" w14:textId="77777777" w:rsidR="00A366A1" w:rsidRPr="00251C18" w:rsidRDefault="00A366A1" w:rsidP="00A366A1">
          <w:pPr>
            <w:pStyle w:val="Header"/>
            <w:numPr>
              <w:ilvl w:val="0"/>
              <w:numId w:val="0"/>
            </w:numPr>
            <w:rPr>
              <w:rFonts w:cs="Arial"/>
              <w:color w:val="3366FF"/>
            </w:rPr>
          </w:pPr>
          <w:r>
            <w:rPr>
              <w:rFonts w:cs="Arial"/>
              <w:color w:val="3366FF"/>
            </w:rPr>
            <w:t>Activity: Measuring the specific gravity of quartz</w:t>
          </w:r>
        </w:p>
      </w:tc>
    </w:tr>
  </w:tbl>
  <w:p w14:paraId="47AE2BFA" w14:textId="77777777" w:rsidR="00A366A1" w:rsidRDefault="00A366A1" w:rsidP="00A366A1">
    <w:pPr>
      <w:pStyle w:val="Header"/>
    </w:pPr>
    <w:r>
      <w:rPr>
        <w:noProof/>
        <w:lang w:val="en-US" w:eastAsia="en-US"/>
      </w:rPr>
      <w:drawing>
        <wp:anchor distT="0" distB="0" distL="114300" distR="114300" simplePos="0" relativeHeight="251659264" behindDoc="0" locked="0" layoutInCell="1" allowOverlap="1" wp14:anchorId="5FD5B0C9" wp14:editId="23EBF3A6">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9E265" w14:textId="77777777" w:rsidR="00111672" w:rsidRPr="00A366A1" w:rsidRDefault="00111672" w:rsidP="00A366A1">
    <w:pPr>
      <w:pStyle w:val="Header"/>
      <w:numPr>
        <w:ilvl w:val="0"/>
        <w:numId w:val="0"/>
      </w:num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D361D2"/>
    <w:multiLevelType w:val="hybridMultilevel"/>
    <w:tmpl w:val="BE6CE374"/>
    <w:lvl w:ilvl="0" w:tplc="AC34E30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615694B"/>
    <w:multiLevelType w:val="hybridMultilevel"/>
    <w:tmpl w:val="5F4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D64A48"/>
    <w:multiLevelType w:val="hybridMultilevel"/>
    <w:tmpl w:val="EC9EF082"/>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1">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EFE65F0"/>
    <w:multiLevelType w:val="hybridMultilevel"/>
    <w:tmpl w:val="A93E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4E64A5"/>
    <w:multiLevelType w:val="hybridMultilevel"/>
    <w:tmpl w:val="BE98741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B3208B"/>
    <w:multiLevelType w:val="hybridMultilevel"/>
    <w:tmpl w:val="5AB89A8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AC10EB"/>
    <w:multiLevelType w:val="hybridMultilevel"/>
    <w:tmpl w:val="8984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E62A7"/>
    <w:multiLevelType w:val="hybridMultilevel"/>
    <w:tmpl w:val="D77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278C7"/>
    <w:multiLevelType w:val="hybridMultilevel"/>
    <w:tmpl w:val="5E568B0E"/>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D863F6"/>
    <w:multiLevelType w:val="hybridMultilevel"/>
    <w:tmpl w:val="B6A0C2DE"/>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3"/>
  </w:num>
  <w:num w:numId="2">
    <w:abstractNumId w:val="0"/>
  </w:num>
  <w:num w:numId="3">
    <w:abstractNumId w:val="4"/>
  </w:num>
  <w:num w:numId="4">
    <w:abstractNumId w:val="5"/>
  </w:num>
  <w:num w:numId="5">
    <w:abstractNumId w:val="6"/>
  </w:num>
  <w:num w:numId="6">
    <w:abstractNumId w:val="19"/>
  </w:num>
  <w:num w:numId="7">
    <w:abstractNumId w:val="8"/>
  </w:num>
  <w:num w:numId="8">
    <w:abstractNumId w:val="11"/>
  </w:num>
  <w:num w:numId="9">
    <w:abstractNumId w:val="2"/>
  </w:num>
  <w:num w:numId="10">
    <w:abstractNumId w:val="7"/>
  </w:num>
  <w:num w:numId="11">
    <w:abstractNumId w:val="23"/>
  </w:num>
  <w:num w:numId="12">
    <w:abstractNumId w:val="17"/>
  </w:num>
  <w:num w:numId="13">
    <w:abstractNumId w:val="9"/>
  </w:num>
  <w:num w:numId="14">
    <w:abstractNumId w:val="18"/>
  </w:num>
  <w:num w:numId="15">
    <w:abstractNumId w:val="20"/>
  </w:num>
  <w:num w:numId="16">
    <w:abstractNumId w:val="12"/>
  </w:num>
  <w:num w:numId="17">
    <w:abstractNumId w:val="1"/>
  </w:num>
  <w:num w:numId="18">
    <w:abstractNumId w:val="13"/>
  </w:num>
  <w:num w:numId="19">
    <w:abstractNumId w:val="10"/>
  </w:num>
  <w:num w:numId="20">
    <w:abstractNumId w:val="21"/>
  </w:num>
  <w:num w:numId="21">
    <w:abstractNumId w:val="24"/>
  </w:num>
  <w:num w:numId="22">
    <w:abstractNumId w:val="15"/>
  </w:num>
  <w:num w:numId="23">
    <w:abstractNumId w:val="22"/>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FB"/>
    <w:rsid w:val="00111672"/>
    <w:rsid w:val="001B61E1"/>
    <w:rsid w:val="002F52A5"/>
    <w:rsid w:val="003876FB"/>
    <w:rsid w:val="003D61EA"/>
    <w:rsid w:val="00A366A1"/>
    <w:rsid w:val="00A7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B85DDD"/>
  <w15:chartTrackingRefBased/>
  <w15:docId w15:val="{EBBB6603-2E0A-4F8F-A9E5-E567CD0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876FB"/>
    <w:rPr>
      <w:rFonts w:ascii="Verdana" w:eastAsia="Times New Roman" w:hAnsi="Verdana"/>
      <w:szCs w:val="24"/>
      <w:lang w:val="en-GB" w:eastAsia="en-GB"/>
    </w:rPr>
  </w:style>
  <w:style w:type="paragraph" w:styleId="Heading1">
    <w:name w:val="heading 1"/>
    <w:basedOn w:val="Normal"/>
    <w:next w:val="Normal"/>
    <w:link w:val="Heading1Char"/>
    <w:qFormat/>
    <w:rsid w:val="003876FB"/>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3876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6F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876FB"/>
    <w:rPr>
      <w:rFonts w:ascii="Arial" w:eastAsia="Times New Roman" w:hAnsi="Arial" w:cs="Arial"/>
      <w:b/>
      <w:bCs/>
      <w:i/>
      <w:iCs/>
      <w:sz w:val="28"/>
      <w:szCs w:val="28"/>
      <w:lang w:val="en-GB" w:eastAsia="en-GB"/>
    </w:rPr>
  </w:style>
  <w:style w:type="character" w:styleId="Hyperlink">
    <w:name w:val="Hyperlink"/>
    <w:basedOn w:val="DefaultParagraphFont"/>
    <w:rsid w:val="003876FB"/>
    <w:rPr>
      <w:color w:val="0000FF"/>
      <w:u w:val="single"/>
    </w:rPr>
  </w:style>
  <w:style w:type="paragraph" w:customStyle="1" w:styleId="StyleVerdanaRight05cm">
    <w:name w:val="Style Verdana Right:  0.5 cm"/>
    <w:basedOn w:val="Normal"/>
    <w:rsid w:val="003876FB"/>
    <w:pPr>
      <w:tabs>
        <w:tab w:val="num" w:pos="567"/>
      </w:tabs>
      <w:ind w:left="567" w:hanging="567"/>
    </w:pPr>
  </w:style>
  <w:style w:type="paragraph" w:styleId="Header">
    <w:name w:val="header"/>
    <w:basedOn w:val="Normal"/>
    <w:link w:val="HeaderChar"/>
    <w:rsid w:val="003876FB"/>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3876FB"/>
    <w:rPr>
      <w:rFonts w:ascii="Verdana" w:eastAsia="Times New Roman" w:hAnsi="Verdana" w:cs="Times New Roman"/>
      <w:szCs w:val="24"/>
      <w:lang w:val="en-GB" w:eastAsia="en-GB"/>
    </w:rPr>
  </w:style>
  <w:style w:type="paragraph" w:styleId="Footer">
    <w:name w:val="footer"/>
    <w:basedOn w:val="Normal"/>
    <w:link w:val="FooterChar"/>
    <w:rsid w:val="003876FB"/>
    <w:pPr>
      <w:tabs>
        <w:tab w:val="center" w:pos="4153"/>
        <w:tab w:val="right" w:pos="8306"/>
      </w:tabs>
    </w:pPr>
  </w:style>
  <w:style w:type="character" w:customStyle="1" w:styleId="FooterChar">
    <w:name w:val="Footer Char"/>
    <w:basedOn w:val="DefaultParagraphFont"/>
    <w:link w:val="Footer"/>
    <w:rsid w:val="003876FB"/>
    <w:rPr>
      <w:rFonts w:ascii="Verdana" w:eastAsia="Times New Roman" w:hAnsi="Verdana" w:cs="Times New Roman"/>
      <w:szCs w:val="24"/>
      <w:lang w:val="en-GB" w:eastAsia="en-GB"/>
    </w:rPr>
  </w:style>
  <w:style w:type="character" w:styleId="PageNumber">
    <w:name w:val="page number"/>
    <w:basedOn w:val="DefaultParagraphFont"/>
    <w:rsid w:val="003876FB"/>
  </w:style>
  <w:style w:type="character" w:styleId="FollowedHyperlink">
    <w:name w:val="FollowedHyperlink"/>
    <w:basedOn w:val="DefaultParagraphFont"/>
    <w:rsid w:val="003876FB"/>
    <w:rPr>
      <w:color w:val="800080"/>
      <w:u w:val="single"/>
    </w:rPr>
  </w:style>
  <w:style w:type="character" w:customStyle="1" w:styleId="BalloonTextChar">
    <w:name w:val="Balloon Text Char"/>
    <w:basedOn w:val="DefaultParagraphFont"/>
    <w:link w:val="BalloonText"/>
    <w:semiHidden/>
    <w:rsid w:val="003876FB"/>
    <w:rPr>
      <w:rFonts w:ascii="Tahoma" w:eastAsia="Times New Roman" w:hAnsi="Tahoma" w:cs="Tahoma"/>
      <w:sz w:val="16"/>
      <w:szCs w:val="16"/>
      <w:lang w:val="en-GB" w:eastAsia="en-GB"/>
    </w:rPr>
  </w:style>
  <w:style w:type="paragraph" w:styleId="BalloonText">
    <w:name w:val="Balloon Text"/>
    <w:basedOn w:val="Normal"/>
    <w:link w:val="BalloonTextChar"/>
    <w:semiHidden/>
    <w:rsid w:val="003876FB"/>
    <w:rPr>
      <w:rFonts w:ascii="Tahoma" w:hAnsi="Tahoma" w:cs="Tahoma"/>
      <w:sz w:val="16"/>
      <w:szCs w:val="16"/>
    </w:rPr>
  </w:style>
  <w:style w:type="character" w:customStyle="1" w:styleId="BalloonTextChar1">
    <w:name w:val="Balloon Text Char1"/>
    <w:basedOn w:val="DefaultParagraphFont"/>
    <w:uiPriority w:val="99"/>
    <w:semiHidden/>
    <w:rsid w:val="003876FB"/>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3876FB"/>
    <w:rPr>
      <w:sz w:val="18"/>
      <w:szCs w:val="18"/>
    </w:rPr>
  </w:style>
  <w:style w:type="paragraph" w:styleId="CommentText">
    <w:name w:val="annotation text"/>
    <w:basedOn w:val="Normal"/>
    <w:link w:val="CommentTextChar"/>
    <w:rsid w:val="003876FB"/>
    <w:rPr>
      <w:sz w:val="24"/>
    </w:rPr>
  </w:style>
  <w:style w:type="character" w:customStyle="1" w:styleId="CommentTextChar">
    <w:name w:val="Comment Text Char"/>
    <w:basedOn w:val="DefaultParagraphFont"/>
    <w:link w:val="CommentText"/>
    <w:rsid w:val="003876FB"/>
    <w:rPr>
      <w:rFonts w:ascii="Verdana" w:eastAsia="Times New Roman" w:hAnsi="Verdana" w:cs="Times New Roman"/>
      <w:sz w:val="24"/>
      <w:szCs w:val="24"/>
      <w:lang w:val="en-GB" w:eastAsia="en-GB"/>
    </w:rPr>
  </w:style>
  <w:style w:type="paragraph" w:styleId="NormalWeb">
    <w:name w:val="Normal (Web)"/>
    <w:basedOn w:val="Normal"/>
    <w:rsid w:val="003876FB"/>
    <w:pPr>
      <w:spacing w:before="100" w:beforeAutospacing="1" w:after="100" w:afterAutospacing="1"/>
    </w:pPr>
    <w:rPr>
      <w:rFonts w:ascii="Times New Roman" w:hAnsi="Times New Roman"/>
      <w:sz w:val="24"/>
    </w:rPr>
  </w:style>
  <w:style w:type="table" w:styleId="TableGrid">
    <w:name w:val="Table Grid"/>
    <w:basedOn w:val="TableNormal"/>
    <w:rsid w:val="00C2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302314"/>
    <w:rPr>
      <w:b/>
      <w:bCs/>
      <w:sz w:val="20"/>
      <w:szCs w:val="20"/>
    </w:rPr>
  </w:style>
  <w:style w:type="character" w:customStyle="1" w:styleId="HeaderChar1">
    <w:name w:val="Header Char1"/>
    <w:locked/>
    <w:rsid w:val="00A366A1"/>
    <w:rPr>
      <w:rFonts w:ascii="Verdana" w:hAnsi="Verdana"/>
      <w:sz w:val="24"/>
      <w:lang w:val="en-GB" w:eastAsia="en-GB"/>
    </w:rPr>
  </w:style>
  <w:style w:type="character" w:customStyle="1" w:styleId="FooterChar2">
    <w:name w:val="Footer Char2"/>
    <w:locked/>
    <w:rsid w:val="00A366A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Measuring the specific gravity of quartz</vt:lpstr>
    </vt:vector>
  </TitlesOfParts>
  <Company>The University of Waikato</Company>
  <LinksUpToDate>false</LinksUpToDate>
  <CharactersWithSpaces>4739</CharactersWithSpaces>
  <SharedDoc>false</SharedDoc>
  <HLinks>
    <vt:vector size="48" baseType="variant">
      <vt:variant>
        <vt:i4>589843</vt:i4>
      </vt:variant>
      <vt:variant>
        <vt:i4>18</vt:i4>
      </vt:variant>
      <vt:variant>
        <vt:i4>0</vt:i4>
      </vt:variant>
      <vt:variant>
        <vt:i4>5</vt:i4>
      </vt:variant>
      <vt:variant>
        <vt:lpwstr/>
      </vt:variant>
      <vt:variant>
        <vt:lpwstr>worksheet</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specific gravity of quartz</dc:title>
  <dc:subject/>
  <dc:creator>Science Learning Hub, The University of Waikato</dc:creator>
  <cp:keywords/>
  <cp:lastModifiedBy>Science Learning Hub - University of Waikato</cp:lastModifiedBy>
  <cp:revision>2</cp:revision>
  <dcterms:created xsi:type="dcterms:W3CDTF">2017-05-07T22:25:00Z</dcterms:created>
  <dcterms:modified xsi:type="dcterms:W3CDTF">2017-05-07T22:25:00Z</dcterms:modified>
</cp:coreProperties>
</file>