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A3" w:rsidRPr="00C876E5" w:rsidRDefault="00994FA3" w:rsidP="00994FA3">
      <w:pPr>
        <w:jc w:val="center"/>
        <w:outlineLvl w:val="0"/>
        <w:rPr>
          <w:b/>
          <w:sz w:val="24"/>
        </w:rPr>
      </w:pPr>
      <w:bookmarkStart w:id="0" w:name="_GoBack"/>
      <w:bookmarkEnd w:id="0"/>
      <w:r w:rsidRPr="00C876E5">
        <w:rPr>
          <w:b/>
          <w:sz w:val="24"/>
        </w:rPr>
        <w:t xml:space="preserve">ACTIVITY: </w:t>
      </w:r>
      <w:r>
        <w:rPr>
          <w:b/>
          <w:sz w:val="24"/>
        </w:rPr>
        <w:t>Salivary amylase and starch</w:t>
      </w:r>
    </w:p>
    <w:p w:rsidR="00994FA3" w:rsidRDefault="00994FA3" w:rsidP="00994FA3"/>
    <w:p w:rsidR="00994FA3" w:rsidRDefault="00994FA3" w:rsidP="00994FA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Helvetica"/>
          <w:b/>
        </w:rPr>
      </w:pPr>
      <w:r w:rsidRPr="00FB23DB">
        <w:rPr>
          <w:rFonts w:cs="Helvetica"/>
          <w:b/>
        </w:rPr>
        <w:t>Activity idea</w:t>
      </w:r>
    </w:p>
    <w:p w:rsidR="00994FA3" w:rsidRDefault="00994FA3" w:rsidP="00994FA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994FA3" w:rsidRDefault="00994FA3" w:rsidP="00994FA3">
      <w:pPr>
        <w:pBdr>
          <w:top w:val="single" w:sz="4" w:space="1" w:color="auto"/>
          <w:left w:val="single" w:sz="4" w:space="1" w:color="auto"/>
          <w:bottom w:val="single" w:sz="4" w:space="1" w:color="auto"/>
          <w:right w:val="single" w:sz="4" w:space="1" w:color="auto"/>
        </w:pBdr>
      </w:pPr>
      <w:r>
        <w:t>In this activity, students investigate the action of salivary amylase on starch present in cooked rice. Simple tests for starch and its digestion product, maltose, are applied.</w:t>
      </w:r>
    </w:p>
    <w:p w:rsidR="00994FA3" w:rsidRPr="007F2821" w:rsidRDefault="00994FA3" w:rsidP="00994FA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994FA3" w:rsidRPr="00831ACD" w:rsidRDefault="00994FA3" w:rsidP="00994FA3">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994FA3" w:rsidRDefault="00994FA3" w:rsidP="00994FA3">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use simple chemical tests to identify soluble starch and reducing sugars like glucose and maltose</w:t>
      </w:r>
    </w:p>
    <w:p w:rsidR="00994FA3" w:rsidRDefault="00994FA3" w:rsidP="00994FA3">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 xml:space="preserve">safely use their own salivary amylase </w:t>
      </w:r>
    </w:p>
    <w:p w:rsidR="00994FA3" w:rsidRDefault="00994FA3" w:rsidP="00994FA3">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explain in simple terms how the enzymatic digestion of starch occurs</w:t>
      </w:r>
    </w:p>
    <w:p w:rsidR="00994FA3" w:rsidRDefault="00994FA3" w:rsidP="00994FA3">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recognise the need for careful control of variables such as temperature and amount of reactant in activities of this type</w:t>
      </w:r>
    </w:p>
    <w:p w:rsidR="00994FA3" w:rsidRPr="00B9405A" w:rsidRDefault="00994FA3" w:rsidP="00994FA3">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describe how high temperatures can inactivate enzymes like amylase.</w:t>
      </w:r>
    </w:p>
    <w:p w:rsidR="00994FA3" w:rsidRDefault="00994FA3" w:rsidP="00994FA3">
      <w:pPr>
        <w:rPr>
          <w:rFonts w:cs="Arial"/>
        </w:rPr>
      </w:pPr>
    </w:p>
    <w:p w:rsidR="00994FA3" w:rsidRPr="00C876E5" w:rsidRDefault="00994FA3" w:rsidP="00994FA3">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rsidR="00994FA3" w:rsidRDefault="00994FA3" w:rsidP="00994FA3">
      <w:hyperlink w:anchor="need" w:history="1">
        <w:r w:rsidRPr="00CA4376">
          <w:rPr>
            <w:rStyle w:val="Hyperlink"/>
          </w:rPr>
          <w:t>Wha</w:t>
        </w:r>
        <w:r w:rsidRPr="00CA4376">
          <w:rPr>
            <w:rStyle w:val="Hyperlink"/>
          </w:rPr>
          <w:t>t</w:t>
        </w:r>
        <w:r w:rsidRPr="00CA4376">
          <w:rPr>
            <w:rStyle w:val="Hyperlink"/>
          </w:rPr>
          <w:t xml:space="preserve"> </w:t>
        </w:r>
        <w:r w:rsidRPr="00CA4376">
          <w:rPr>
            <w:rStyle w:val="Hyperlink"/>
          </w:rPr>
          <w:t>y</w:t>
        </w:r>
        <w:r w:rsidRPr="00CA4376">
          <w:rPr>
            <w:rStyle w:val="Hyperlink"/>
          </w:rPr>
          <w:t>ou n</w:t>
        </w:r>
        <w:r w:rsidRPr="00CA4376">
          <w:rPr>
            <w:rStyle w:val="Hyperlink"/>
          </w:rPr>
          <w:t>e</w:t>
        </w:r>
        <w:r w:rsidRPr="00CA4376">
          <w:rPr>
            <w:rStyle w:val="Hyperlink"/>
          </w:rPr>
          <w:t>e</w:t>
        </w:r>
        <w:r w:rsidRPr="00CA4376">
          <w:rPr>
            <w:rStyle w:val="Hyperlink"/>
          </w:rPr>
          <w:t>d</w:t>
        </w:r>
      </w:hyperlink>
    </w:p>
    <w:p w:rsidR="00994FA3" w:rsidRPr="00C876E5" w:rsidRDefault="00994FA3" w:rsidP="00994FA3">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rsidR="00994FA3" w:rsidRPr="00A37970" w:rsidRDefault="00994FA3" w:rsidP="00994FA3">
      <w:pPr>
        <w:rPr>
          <w:b/>
        </w:rPr>
      </w:pPr>
      <w:r>
        <w:t xml:space="preserve">Student worksheet: </w:t>
      </w:r>
      <w:hyperlink w:anchor="testing" w:history="1">
        <w:r w:rsidRPr="0004615B">
          <w:rPr>
            <w:rStyle w:val="Hyperlink"/>
          </w:rPr>
          <w:t>Testing saliva</w:t>
        </w:r>
      </w:hyperlink>
    </w:p>
    <w:p w:rsidR="00994FA3" w:rsidRDefault="00994FA3" w:rsidP="00994FA3"/>
    <w:p w:rsidR="00994FA3" w:rsidRPr="00B02A70" w:rsidRDefault="00994FA3" w:rsidP="00994FA3">
      <w:pPr>
        <w:outlineLvl w:val="0"/>
        <w:rPr>
          <w:b/>
        </w:rPr>
      </w:pPr>
      <w:bookmarkStart w:id="1" w:name="Introduction"/>
      <w:bookmarkEnd w:id="1"/>
      <w:r w:rsidRPr="00B02A70">
        <w:rPr>
          <w:b/>
        </w:rPr>
        <w:t>Introduction/background</w:t>
      </w:r>
    </w:p>
    <w:p w:rsidR="00994FA3" w:rsidRDefault="00994FA3" w:rsidP="00994FA3">
      <w:pPr>
        <w:rPr>
          <w:rFonts w:cs="Arial"/>
        </w:rPr>
      </w:pPr>
    </w:p>
    <w:p w:rsidR="00994FA3" w:rsidRDefault="00994FA3" w:rsidP="00994FA3">
      <w:pPr>
        <w:rPr>
          <w:rFonts w:cs="Arial"/>
        </w:rPr>
      </w:pPr>
      <w:r w:rsidRPr="0013090A">
        <w:rPr>
          <w:rFonts w:cs="Arial"/>
        </w:rPr>
        <w:t>When coo</w:t>
      </w:r>
      <w:r>
        <w:rPr>
          <w:rFonts w:cs="Arial"/>
        </w:rPr>
        <w:t>ked rice is chewed and mixed with saliva in the mouth, chemical digestion of the starch present in the rice grains begins. On entry to the stomach, this digestion process is temporarily halted but begins again when the stomach contents are passed into the first section of the small intestine. Here, more of the enzyme amylase is made available, and the starch digestion process continues.</w:t>
      </w:r>
    </w:p>
    <w:p w:rsidR="00994FA3" w:rsidRDefault="00994FA3" w:rsidP="00994FA3">
      <w:pPr>
        <w:rPr>
          <w:rFonts w:cs="Arial"/>
        </w:rPr>
      </w:pPr>
    </w:p>
    <w:p w:rsidR="00994FA3" w:rsidRDefault="00994FA3" w:rsidP="00994FA3">
      <w:r>
        <w:rPr>
          <w:rFonts w:cs="Arial"/>
        </w:rPr>
        <w:t>This activity attempts to mimic the starch digestion process that occurs in the mouth and small intestine.</w:t>
      </w:r>
      <w:r>
        <w:t xml:space="preserve"> Students investigate the action of salivary amylase on starch present in cooked rice. The heat sensitivity of this enzyme will also be investigated. Simple tests for starch and its digestion product, glucose, will be applied.</w:t>
      </w:r>
    </w:p>
    <w:p w:rsidR="00994FA3" w:rsidRDefault="00994FA3" w:rsidP="00994FA3"/>
    <w:p w:rsidR="00994FA3" w:rsidRDefault="00994FA3" w:rsidP="00994FA3">
      <w:r>
        <w:t>Most people’s saliva contains the starch-digesting enzyme amylase. The activity of this enzyme can vary from one person to another, but most people have some degree of activity.</w:t>
      </w:r>
    </w:p>
    <w:p w:rsidR="00994FA3" w:rsidRDefault="00994FA3" w:rsidP="00994FA3"/>
    <w:p w:rsidR="00994FA3" w:rsidRPr="00EB6108" w:rsidRDefault="00994FA3" w:rsidP="00994FA3">
      <w:pPr>
        <w:suppressAutoHyphens w:val="0"/>
        <w:outlineLvl w:val="0"/>
        <w:rPr>
          <w:b/>
          <w:i/>
        </w:rPr>
      </w:pPr>
      <w:r w:rsidRPr="00EB6108">
        <w:rPr>
          <w:b/>
          <w:i/>
        </w:rPr>
        <w:t>Safety</w:t>
      </w:r>
    </w:p>
    <w:p w:rsidR="00994FA3" w:rsidRDefault="00994FA3" w:rsidP="00994FA3">
      <w:pPr>
        <w:numPr>
          <w:ilvl w:val="0"/>
          <w:numId w:val="7"/>
        </w:numPr>
        <w:suppressAutoHyphens w:val="0"/>
      </w:pPr>
      <w:r>
        <w:t xml:space="preserve">Wear eye protection when handling chemicals and heating with a Bunsen burner. </w:t>
      </w:r>
    </w:p>
    <w:p w:rsidR="00994FA3" w:rsidRDefault="00994FA3" w:rsidP="00994FA3">
      <w:pPr>
        <w:numPr>
          <w:ilvl w:val="0"/>
          <w:numId w:val="7"/>
        </w:numPr>
        <w:suppressAutoHyphens w:val="0"/>
      </w:pPr>
      <w:r>
        <w:t xml:space="preserve">Observe good hygiene practice when working with saliva. </w:t>
      </w:r>
    </w:p>
    <w:p w:rsidR="00994FA3" w:rsidRDefault="00994FA3" w:rsidP="00994FA3"/>
    <w:p w:rsidR="00994FA3" w:rsidRPr="00B02A70" w:rsidRDefault="00994FA3" w:rsidP="00994FA3">
      <w:pPr>
        <w:outlineLvl w:val="0"/>
        <w:rPr>
          <w:b/>
        </w:rPr>
      </w:pPr>
      <w:bookmarkStart w:id="2" w:name="need"/>
      <w:bookmarkEnd w:id="2"/>
      <w:r w:rsidRPr="00B02A70">
        <w:rPr>
          <w:b/>
        </w:rPr>
        <w:t>What you need</w:t>
      </w:r>
    </w:p>
    <w:p w:rsidR="00994FA3" w:rsidRDefault="00994FA3" w:rsidP="00994FA3"/>
    <w:p w:rsidR="00994FA3" w:rsidRDefault="00994FA3" w:rsidP="00994FA3">
      <w:pPr>
        <w:numPr>
          <w:ilvl w:val="0"/>
          <w:numId w:val="7"/>
        </w:numPr>
        <w:suppressAutoHyphens w:val="0"/>
      </w:pPr>
      <w:r>
        <w:t xml:space="preserve">Small disposable plastic cups </w:t>
      </w:r>
    </w:p>
    <w:p w:rsidR="00994FA3" w:rsidRDefault="00994FA3" w:rsidP="00994FA3">
      <w:pPr>
        <w:numPr>
          <w:ilvl w:val="0"/>
          <w:numId w:val="7"/>
        </w:numPr>
        <w:suppressAutoHyphens w:val="0"/>
      </w:pPr>
      <w:r>
        <w:t>2 x 250mL glass beakers, 1 x 50mL glass beaker</w:t>
      </w:r>
    </w:p>
    <w:p w:rsidR="00994FA3" w:rsidRDefault="00994FA3" w:rsidP="00994FA3">
      <w:pPr>
        <w:numPr>
          <w:ilvl w:val="0"/>
          <w:numId w:val="7"/>
        </w:numPr>
        <w:suppressAutoHyphens w:val="0"/>
      </w:pPr>
      <w:r>
        <w:t>Thermometer</w:t>
      </w:r>
    </w:p>
    <w:p w:rsidR="00994FA3" w:rsidRDefault="00994FA3" w:rsidP="00994FA3">
      <w:pPr>
        <w:numPr>
          <w:ilvl w:val="0"/>
          <w:numId w:val="7"/>
        </w:numPr>
        <w:suppressAutoHyphens w:val="0"/>
      </w:pPr>
      <w:r>
        <w:t>Stirring rod</w:t>
      </w:r>
    </w:p>
    <w:p w:rsidR="00994FA3" w:rsidRDefault="00994FA3" w:rsidP="00994FA3">
      <w:pPr>
        <w:numPr>
          <w:ilvl w:val="0"/>
          <w:numId w:val="7"/>
        </w:numPr>
        <w:suppressAutoHyphens w:val="0"/>
      </w:pPr>
      <w:r>
        <w:t>Teat pipette</w:t>
      </w:r>
    </w:p>
    <w:p w:rsidR="00994FA3" w:rsidRDefault="00994FA3" w:rsidP="00994FA3">
      <w:pPr>
        <w:numPr>
          <w:ilvl w:val="0"/>
          <w:numId w:val="7"/>
        </w:numPr>
        <w:suppressAutoHyphens w:val="0"/>
      </w:pPr>
      <w:r>
        <w:t>White dimple spotting tile</w:t>
      </w:r>
    </w:p>
    <w:p w:rsidR="00994FA3" w:rsidRDefault="00994FA3" w:rsidP="00994FA3">
      <w:pPr>
        <w:numPr>
          <w:ilvl w:val="0"/>
          <w:numId w:val="7"/>
        </w:numPr>
        <w:suppressAutoHyphens w:val="0"/>
      </w:pPr>
      <w:r>
        <w:t>Bunsen burner, tripod and gauze</w:t>
      </w:r>
    </w:p>
    <w:p w:rsidR="00994FA3" w:rsidRDefault="00994FA3" w:rsidP="00994FA3">
      <w:pPr>
        <w:numPr>
          <w:ilvl w:val="0"/>
          <w:numId w:val="7"/>
        </w:numPr>
        <w:suppressAutoHyphens w:val="0"/>
      </w:pPr>
      <w:r>
        <w:t>Spatula or small spoon</w:t>
      </w:r>
    </w:p>
    <w:p w:rsidR="00994FA3" w:rsidRDefault="00994FA3" w:rsidP="00994FA3">
      <w:pPr>
        <w:numPr>
          <w:ilvl w:val="0"/>
          <w:numId w:val="7"/>
        </w:numPr>
        <w:suppressAutoHyphens w:val="0"/>
      </w:pPr>
      <w:r>
        <w:t>3 x boiling tubes, 4 x test tubes in a test tube rack</w:t>
      </w:r>
    </w:p>
    <w:p w:rsidR="00994FA3" w:rsidRDefault="00994FA3" w:rsidP="00994FA3">
      <w:pPr>
        <w:numPr>
          <w:ilvl w:val="0"/>
          <w:numId w:val="7"/>
        </w:numPr>
        <w:suppressAutoHyphens w:val="0"/>
      </w:pPr>
      <w:r>
        <w:t>1% starch solution</w:t>
      </w:r>
    </w:p>
    <w:p w:rsidR="00994FA3" w:rsidRDefault="00994FA3" w:rsidP="00994FA3">
      <w:pPr>
        <w:numPr>
          <w:ilvl w:val="0"/>
          <w:numId w:val="7"/>
        </w:numPr>
        <w:suppressAutoHyphens w:val="0"/>
      </w:pPr>
      <w:r>
        <w:t>0.02 molL</w:t>
      </w:r>
      <w:r>
        <w:rPr>
          <w:vertAlign w:val="superscript"/>
        </w:rPr>
        <w:t>-1</w:t>
      </w:r>
      <w:r>
        <w:t xml:space="preserve"> iodine solution</w:t>
      </w:r>
    </w:p>
    <w:p w:rsidR="00994FA3" w:rsidRDefault="00994FA3" w:rsidP="00994FA3">
      <w:pPr>
        <w:numPr>
          <w:ilvl w:val="0"/>
          <w:numId w:val="7"/>
        </w:numPr>
        <w:suppressAutoHyphens w:val="0"/>
      </w:pPr>
      <w:r>
        <w:t>Boiled rice (enough to fill a boiling tube)</w:t>
      </w:r>
    </w:p>
    <w:p w:rsidR="00994FA3" w:rsidRDefault="00994FA3" w:rsidP="00994FA3">
      <w:pPr>
        <w:numPr>
          <w:ilvl w:val="0"/>
          <w:numId w:val="7"/>
        </w:numPr>
        <w:suppressAutoHyphens w:val="0"/>
      </w:pPr>
      <w:r>
        <w:t>Benedict’s solution</w:t>
      </w:r>
    </w:p>
    <w:p w:rsidR="00994FA3" w:rsidRPr="0004615B" w:rsidRDefault="00994FA3" w:rsidP="00994FA3">
      <w:pPr>
        <w:numPr>
          <w:ilvl w:val="0"/>
          <w:numId w:val="7"/>
        </w:numPr>
        <w:suppressAutoHyphens w:val="0"/>
        <w:rPr>
          <w:b/>
        </w:rPr>
      </w:pPr>
      <w:r>
        <w:t>0.1 molL</w:t>
      </w:r>
      <w:r>
        <w:rPr>
          <w:vertAlign w:val="superscript"/>
        </w:rPr>
        <w:t>-1</w:t>
      </w:r>
      <w:r>
        <w:t xml:space="preserve"> glucose solution</w:t>
      </w:r>
    </w:p>
    <w:p w:rsidR="00994FA3" w:rsidRPr="0004615B" w:rsidRDefault="00994FA3" w:rsidP="00994FA3">
      <w:pPr>
        <w:numPr>
          <w:ilvl w:val="0"/>
          <w:numId w:val="7"/>
        </w:numPr>
        <w:suppressAutoHyphens w:val="0"/>
        <w:rPr>
          <w:b/>
        </w:rPr>
      </w:pPr>
      <w:r>
        <w:t xml:space="preserve">Copies of the student worksheet: </w:t>
      </w:r>
      <w:hyperlink w:anchor="testing" w:history="1">
        <w:r w:rsidRPr="0004615B">
          <w:rPr>
            <w:rStyle w:val="Hyperlink"/>
          </w:rPr>
          <w:t>Testing saliva</w:t>
        </w:r>
      </w:hyperlink>
    </w:p>
    <w:p w:rsidR="00994FA3" w:rsidRPr="00B02A70" w:rsidRDefault="00994FA3" w:rsidP="00994FA3">
      <w:pPr>
        <w:outlineLvl w:val="0"/>
        <w:rPr>
          <w:b/>
        </w:rPr>
      </w:pPr>
      <w:bookmarkStart w:id="3" w:name="Do"/>
      <w:bookmarkEnd w:id="3"/>
      <w:r w:rsidRPr="00B02A70">
        <w:rPr>
          <w:b/>
        </w:rPr>
        <w:lastRenderedPageBreak/>
        <w:t>What to do</w:t>
      </w:r>
    </w:p>
    <w:p w:rsidR="00994FA3" w:rsidRDefault="00994FA3" w:rsidP="00994FA3">
      <w:pPr>
        <w:outlineLvl w:val="0"/>
        <w:rPr>
          <w:u w:val="single"/>
        </w:rPr>
      </w:pPr>
    </w:p>
    <w:p w:rsidR="00994FA3" w:rsidRDefault="00994FA3" w:rsidP="00994FA3">
      <w:pPr>
        <w:numPr>
          <w:ilvl w:val="0"/>
          <w:numId w:val="14"/>
        </w:numPr>
      </w:pPr>
      <w:r>
        <w:t xml:space="preserve">Give out copies of the </w:t>
      </w:r>
      <w:r w:rsidRPr="00B22111">
        <w:t>student worksheet and assist students to gather the materials they need and complete the experiment.</w:t>
      </w:r>
      <w:r w:rsidRPr="0004615B">
        <w:t xml:space="preserve"> </w:t>
      </w:r>
      <w:r>
        <w:t>It is important that students work with their own saliva.</w:t>
      </w:r>
    </w:p>
    <w:p w:rsidR="00994FA3" w:rsidRPr="00B22111" w:rsidRDefault="00994FA3" w:rsidP="00994FA3"/>
    <w:p w:rsidR="00994FA3" w:rsidRDefault="00994FA3" w:rsidP="00994FA3">
      <w:pPr>
        <w:numPr>
          <w:ilvl w:val="0"/>
          <w:numId w:val="14"/>
        </w:numPr>
      </w:pPr>
      <w:r w:rsidRPr="00B22111">
        <w:t>Discuss the findings:</w:t>
      </w:r>
    </w:p>
    <w:p w:rsidR="00994FA3" w:rsidRDefault="00994FA3" w:rsidP="00994FA3">
      <w:pPr>
        <w:numPr>
          <w:ilvl w:val="0"/>
          <w:numId w:val="30"/>
        </w:numPr>
      </w:pPr>
      <w:r>
        <w:t>Amylase converts starch into maltose. Like glucose, it is a reducing sugar and gives a positive result when tested with Benedict’s solution. Maltose is a disaccharide with each molecule made up of 2 glucose molecules linked together.</w:t>
      </w:r>
    </w:p>
    <w:p w:rsidR="00994FA3" w:rsidRDefault="00994FA3" w:rsidP="00994FA3">
      <w:pPr>
        <w:numPr>
          <w:ilvl w:val="0"/>
          <w:numId w:val="30"/>
        </w:numPr>
      </w:pPr>
      <w:r>
        <w:t>The activity of salivary amylase does vary from 1 individual to another.</w:t>
      </w:r>
    </w:p>
    <w:p w:rsidR="00994FA3" w:rsidRDefault="00994FA3" w:rsidP="00994FA3">
      <w:pPr>
        <w:outlineLvl w:val="0"/>
        <w:rPr>
          <w:u w:val="single"/>
        </w:rPr>
      </w:pPr>
    </w:p>
    <w:p w:rsidR="00994FA3" w:rsidRPr="00EB6108" w:rsidRDefault="00994FA3" w:rsidP="00994FA3">
      <w:pPr>
        <w:outlineLvl w:val="0"/>
        <w:rPr>
          <w:b/>
        </w:rPr>
      </w:pPr>
      <w:r>
        <w:rPr>
          <w:u w:val="single"/>
        </w:rPr>
        <w:br w:type="page"/>
      </w:r>
      <w:bookmarkStart w:id="4" w:name="testing"/>
      <w:bookmarkEnd w:id="4"/>
      <w:r w:rsidRPr="00EB6108">
        <w:rPr>
          <w:b/>
        </w:rPr>
        <w:lastRenderedPageBreak/>
        <w:t>Test</w:t>
      </w:r>
      <w:r>
        <w:rPr>
          <w:b/>
        </w:rPr>
        <w:t>i</w:t>
      </w:r>
      <w:r w:rsidRPr="00EB6108">
        <w:rPr>
          <w:b/>
        </w:rPr>
        <w:t xml:space="preserve">ng </w:t>
      </w:r>
      <w:r>
        <w:rPr>
          <w:b/>
        </w:rPr>
        <w:t>saliva</w:t>
      </w:r>
    </w:p>
    <w:p w:rsidR="00994FA3" w:rsidRDefault="00994FA3" w:rsidP="00994FA3">
      <w:pPr>
        <w:outlineLvl w:val="0"/>
        <w:rPr>
          <w:u w:val="single"/>
        </w:rPr>
      </w:pPr>
    </w:p>
    <w:p w:rsidR="00994FA3" w:rsidRDefault="00994FA3" w:rsidP="00994FA3">
      <w:pPr>
        <w:numPr>
          <w:ilvl w:val="0"/>
          <w:numId w:val="31"/>
        </w:numPr>
      </w:pPr>
      <w:r>
        <w:t>Using a clean teat pipette, place a drop of starch solution in 1 of the dimples in the spotting tile. Add a drop of iodine solution and note what happens.</w:t>
      </w:r>
    </w:p>
    <w:p w:rsidR="00994FA3" w:rsidRDefault="00994FA3" w:rsidP="00994FA3">
      <w:pPr>
        <w:pBdr>
          <w:top w:val="single" w:sz="4" w:space="1" w:color="auto"/>
          <w:left w:val="single" w:sz="4" w:space="4" w:color="auto"/>
          <w:bottom w:val="single" w:sz="4" w:space="1" w:color="auto"/>
          <w:right w:val="single" w:sz="4" w:space="4" w:color="auto"/>
        </w:pBdr>
        <w:ind w:left="360"/>
      </w:pPr>
    </w:p>
    <w:p w:rsidR="00994FA3" w:rsidRDefault="00994FA3" w:rsidP="00994FA3">
      <w:pPr>
        <w:pBdr>
          <w:top w:val="single" w:sz="4" w:space="1" w:color="auto"/>
          <w:left w:val="single" w:sz="4" w:space="4" w:color="auto"/>
          <w:bottom w:val="single" w:sz="4" w:space="1" w:color="auto"/>
          <w:right w:val="single" w:sz="4" w:space="4" w:color="auto"/>
        </w:pBdr>
        <w:ind w:left="360"/>
      </w:pPr>
    </w:p>
    <w:p w:rsidR="00994FA3" w:rsidRDefault="00994FA3" w:rsidP="00994FA3"/>
    <w:p w:rsidR="00994FA3" w:rsidRDefault="00994FA3" w:rsidP="00994FA3">
      <w:pPr>
        <w:numPr>
          <w:ilvl w:val="0"/>
          <w:numId w:val="31"/>
        </w:numPr>
      </w:pPr>
      <w:r>
        <w:t>Place 2cm of Benedict’s solution into 1 of the test tubes. Add an equal depth of glucose solution. Place the test tube in a 250mL beaker half full of hot water and leave for several minutes. Note what happens.</w:t>
      </w:r>
    </w:p>
    <w:p w:rsidR="00994FA3" w:rsidRDefault="00994FA3" w:rsidP="00994FA3">
      <w:pPr>
        <w:pBdr>
          <w:top w:val="single" w:sz="4" w:space="1" w:color="auto"/>
          <w:left w:val="single" w:sz="4" w:space="4" w:color="auto"/>
          <w:bottom w:val="single" w:sz="4" w:space="1" w:color="auto"/>
          <w:right w:val="single" w:sz="4" w:space="4" w:color="auto"/>
        </w:pBdr>
        <w:ind w:left="360"/>
      </w:pPr>
    </w:p>
    <w:p w:rsidR="00994FA3" w:rsidRDefault="00994FA3" w:rsidP="00994FA3">
      <w:pPr>
        <w:pBdr>
          <w:top w:val="single" w:sz="4" w:space="1" w:color="auto"/>
          <w:left w:val="single" w:sz="4" w:space="4" w:color="auto"/>
          <w:bottom w:val="single" w:sz="4" w:space="1" w:color="auto"/>
          <w:right w:val="single" w:sz="4" w:space="4" w:color="auto"/>
        </w:pBdr>
        <w:ind w:left="360"/>
      </w:pPr>
    </w:p>
    <w:p w:rsidR="00994FA3" w:rsidRDefault="00994FA3" w:rsidP="00994FA3"/>
    <w:p w:rsidR="00994FA3" w:rsidRDefault="00994FA3" w:rsidP="00994FA3">
      <w:pPr>
        <w:numPr>
          <w:ilvl w:val="0"/>
          <w:numId w:val="31"/>
        </w:numPr>
      </w:pPr>
      <w:r>
        <w:t xml:space="preserve">Half fill a disposable plastic cup with warm water. Take a mouthful of water, rinse around in your mouth for 10 seconds and carefully spit out to waste. Take another mouthful and rinse again but this time carefully spit it back into the cup. (This is your sample of salivary amylase.) Pour half of this sample into a 50mL glass beaker, place on a gauze mat on top of a tripod and heat gently to boiling over a Bunsen burner. Set aside to cool. </w:t>
      </w:r>
    </w:p>
    <w:p w:rsidR="00994FA3" w:rsidRDefault="00994FA3" w:rsidP="00994FA3"/>
    <w:p w:rsidR="00994FA3" w:rsidRDefault="00994FA3" w:rsidP="00994FA3">
      <w:pPr>
        <w:numPr>
          <w:ilvl w:val="0"/>
          <w:numId w:val="31"/>
        </w:numPr>
        <w:outlineLvl w:val="0"/>
      </w:pPr>
      <w:r>
        <w:t>Clearly label the boiling tubes – 1 (control), 2 (saliva), 3 (boiled saliva). One-third fill each tube with pre-boiled and drained rice. Add 10mL of water to tube 1. From the disposable cup, pour the saliva into tube 2. From the 50mL beaker, pour the cooled boiled saliva into tube 3.</w:t>
      </w:r>
    </w:p>
    <w:p w:rsidR="00994FA3" w:rsidRDefault="00994FA3" w:rsidP="00994FA3"/>
    <w:p w:rsidR="00994FA3" w:rsidRDefault="00994FA3" w:rsidP="00994FA3">
      <w:pPr>
        <w:numPr>
          <w:ilvl w:val="0"/>
          <w:numId w:val="31"/>
        </w:numPr>
        <w:outlineLvl w:val="0"/>
      </w:pPr>
      <w:r>
        <w:t>Place each tube in a 250mL beaker half full of warm water set at 37°C. (</w:t>
      </w:r>
      <w:r w:rsidRPr="002A00E0">
        <w:t>Use a thermometer</w:t>
      </w:r>
      <w:r>
        <w:t xml:space="preserve"> to monitor the temperature. If heating is required, add small amounts of hot water to the beaker or place on a tripod and heat gently with a Bunsen burner.)</w:t>
      </w:r>
    </w:p>
    <w:p w:rsidR="00994FA3" w:rsidRDefault="00994FA3" w:rsidP="00994FA3"/>
    <w:p w:rsidR="00994FA3" w:rsidRDefault="00994FA3" w:rsidP="00994FA3">
      <w:pPr>
        <w:numPr>
          <w:ilvl w:val="0"/>
          <w:numId w:val="31"/>
        </w:numPr>
      </w:pPr>
      <w:r>
        <w:t>With a glass rod, gently stir the contents of each tube in turn making sure the rod is cleaned between tubes. Continue with this for 15 minutes.</w:t>
      </w:r>
    </w:p>
    <w:p w:rsidR="00994FA3" w:rsidRDefault="00994FA3" w:rsidP="00994FA3"/>
    <w:p w:rsidR="00994FA3" w:rsidRDefault="00994FA3" w:rsidP="00994FA3">
      <w:pPr>
        <w:numPr>
          <w:ilvl w:val="0"/>
          <w:numId w:val="31"/>
        </w:numPr>
      </w:pPr>
      <w:r>
        <w:t>After 15 minutes has elapsed, using a teat pipette, carefully remove a sample of liquid from tube 1 and place a drop in a dimple of the spotting tile. Repeat this for tubes 2 and 3, making sure the pipette is cleaned between samples.</w:t>
      </w:r>
    </w:p>
    <w:p w:rsidR="00994FA3" w:rsidRDefault="00994FA3" w:rsidP="00994FA3"/>
    <w:p w:rsidR="00994FA3" w:rsidRDefault="00994FA3" w:rsidP="00994FA3">
      <w:pPr>
        <w:numPr>
          <w:ilvl w:val="0"/>
          <w:numId w:val="31"/>
        </w:numPr>
      </w:pPr>
      <w:r>
        <w:t>To each loaded dimple, add a drop of iodine solution and note what happens in each case.</w:t>
      </w:r>
    </w:p>
    <w:p w:rsidR="00994FA3" w:rsidRDefault="00994FA3" w:rsidP="00994FA3"/>
    <w:p w:rsidR="00994FA3" w:rsidRDefault="00994FA3" w:rsidP="00994FA3">
      <w:pPr>
        <w:numPr>
          <w:ilvl w:val="0"/>
          <w:numId w:val="31"/>
        </w:numPr>
      </w:pPr>
      <w:r>
        <w:t>If no significant colour difference is observed between samples, set aside for a further 10 minutes and retest.</w:t>
      </w:r>
    </w:p>
    <w:p w:rsidR="00994FA3" w:rsidRDefault="00994FA3" w:rsidP="00994FA3"/>
    <w:p w:rsidR="00994FA3" w:rsidRDefault="00994FA3" w:rsidP="00994FA3">
      <w:pPr>
        <w:numPr>
          <w:ilvl w:val="0"/>
          <w:numId w:val="31"/>
        </w:numPr>
      </w:pPr>
      <w:r>
        <w:t>If a significant colour difference is observed between samples, extract samples of liquid from each tubes and place in each of 3 clean test tubes. To each tube, add 2mL of Benedict’s solution and place the tubes in a 250mL beaker one-third full of boiling water. Set aside for several minutes and note any colour change.</w:t>
      </w:r>
    </w:p>
    <w:p w:rsidR="00994FA3" w:rsidRDefault="00994FA3" w:rsidP="00994FA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7"/>
        <w:gridCol w:w="2220"/>
        <w:gridCol w:w="2221"/>
        <w:gridCol w:w="2221"/>
      </w:tblGrid>
      <w:tr w:rsidR="00994FA3" w:rsidTr="00EA4997">
        <w:tc>
          <w:tcPr>
            <w:tcW w:w="3227" w:type="dxa"/>
            <w:shd w:val="clear" w:color="auto" w:fill="D9D9D9"/>
          </w:tcPr>
          <w:p w:rsidR="00994FA3" w:rsidRPr="00542611" w:rsidRDefault="00994FA3" w:rsidP="00EA4997">
            <w:pPr>
              <w:tabs>
                <w:tab w:val="right" w:pos="2399"/>
              </w:tabs>
              <w:rPr>
                <w:b/>
                <w:szCs w:val="20"/>
              </w:rPr>
            </w:pPr>
            <w:r w:rsidRPr="00542611">
              <w:rPr>
                <w:b/>
                <w:szCs w:val="20"/>
              </w:rPr>
              <w:t>Test with iodine</w:t>
            </w:r>
            <w:r w:rsidRPr="00542611">
              <w:rPr>
                <w:b/>
                <w:szCs w:val="20"/>
              </w:rPr>
              <w:tab/>
            </w:r>
          </w:p>
        </w:tc>
        <w:tc>
          <w:tcPr>
            <w:tcW w:w="2220" w:type="dxa"/>
            <w:shd w:val="clear" w:color="auto" w:fill="D9D9D9"/>
          </w:tcPr>
          <w:p w:rsidR="00994FA3" w:rsidRPr="00542611" w:rsidRDefault="00994FA3" w:rsidP="00EA4997">
            <w:pPr>
              <w:rPr>
                <w:b/>
                <w:szCs w:val="20"/>
              </w:rPr>
            </w:pPr>
            <w:r w:rsidRPr="00542611">
              <w:rPr>
                <w:b/>
                <w:szCs w:val="20"/>
              </w:rPr>
              <w:t>Tube #1</w:t>
            </w:r>
          </w:p>
        </w:tc>
        <w:tc>
          <w:tcPr>
            <w:tcW w:w="2221" w:type="dxa"/>
            <w:shd w:val="clear" w:color="auto" w:fill="D9D9D9"/>
          </w:tcPr>
          <w:p w:rsidR="00994FA3" w:rsidRPr="00542611" w:rsidRDefault="00994FA3" w:rsidP="00EA4997">
            <w:pPr>
              <w:rPr>
                <w:b/>
                <w:szCs w:val="20"/>
              </w:rPr>
            </w:pPr>
            <w:r w:rsidRPr="00542611">
              <w:rPr>
                <w:b/>
                <w:szCs w:val="20"/>
              </w:rPr>
              <w:t>Tube #2</w:t>
            </w:r>
          </w:p>
        </w:tc>
        <w:tc>
          <w:tcPr>
            <w:tcW w:w="2221" w:type="dxa"/>
            <w:shd w:val="clear" w:color="auto" w:fill="D9D9D9"/>
          </w:tcPr>
          <w:p w:rsidR="00994FA3" w:rsidRPr="00542611" w:rsidRDefault="00994FA3" w:rsidP="00EA4997">
            <w:pPr>
              <w:rPr>
                <w:b/>
                <w:szCs w:val="20"/>
              </w:rPr>
            </w:pPr>
            <w:r w:rsidRPr="00542611">
              <w:rPr>
                <w:b/>
                <w:szCs w:val="20"/>
              </w:rPr>
              <w:t>Tube #3</w:t>
            </w:r>
          </w:p>
        </w:tc>
      </w:tr>
      <w:tr w:rsidR="00994FA3" w:rsidTr="00EA4997">
        <w:tc>
          <w:tcPr>
            <w:tcW w:w="3227" w:type="dxa"/>
          </w:tcPr>
          <w:p w:rsidR="00994FA3" w:rsidRPr="00542611" w:rsidRDefault="00994FA3" w:rsidP="00EA4997">
            <w:pPr>
              <w:rPr>
                <w:szCs w:val="20"/>
              </w:rPr>
            </w:pPr>
            <w:r w:rsidRPr="00542611">
              <w:rPr>
                <w:szCs w:val="20"/>
              </w:rPr>
              <w:t>After 15 minutes</w:t>
            </w:r>
          </w:p>
        </w:tc>
        <w:tc>
          <w:tcPr>
            <w:tcW w:w="2220" w:type="dxa"/>
          </w:tcPr>
          <w:p w:rsidR="00994FA3" w:rsidRPr="00542611" w:rsidRDefault="00994FA3" w:rsidP="00EA4997">
            <w:pPr>
              <w:rPr>
                <w:szCs w:val="20"/>
              </w:rPr>
            </w:pPr>
          </w:p>
        </w:tc>
        <w:tc>
          <w:tcPr>
            <w:tcW w:w="2221" w:type="dxa"/>
          </w:tcPr>
          <w:p w:rsidR="00994FA3" w:rsidRPr="00542611" w:rsidRDefault="00994FA3" w:rsidP="00EA4997">
            <w:pPr>
              <w:rPr>
                <w:szCs w:val="20"/>
              </w:rPr>
            </w:pPr>
          </w:p>
        </w:tc>
        <w:tc>
          <w:tcPr>
            <w:tcW w:w="2221" w:type="dxa"/>
          </w:tcPr>
          <w:p w:rsidR="00994FA3" w:rsidRPr="00542611" w:rsidRDefault="00994FA3" w:rsidP="00EA4997">
            <w:pPr>
              <w:rPr>
                <w:szCs w:val="20"/>
              </w:rPr>
            </w:pPr>
          </w:p>
        </w:tc>
      </w:tr>
      <w:tr w:rsidR="00994FA3" w:rsidTr="00EA4997">
        <w:tc>
          <w:tcPr>
            <w:tcW w:w="3227" w:type="dxa"/>
          </w:tcPr>
          <w:p w:rsidR="00994FA3" w:rsidRPr="00542611" w:rsidRDefault="00994FA3" w:rsidP="00EA4997">
            <w:pPr>
              <w:rPr>
                <w:szCs w:val="20"/>
              </w:rPr>
            </w:pPr>
            <w:r w:rsidRPr="00542611">
              <w:rPr>
                <w:szCs w:val="20"/>
              </w:rPr>
              <w:t>After 25 minutes</w:t>
            </w:r>
          </w:p>
        </w:tc>
        <w:tc>
          <w:tcPr>
            <w:tcW w:w="2220" w:type="dxa"/>
          </w:tcPr>
          <w:p w:rsidR="00994FA3" w:rsidRPr="00542611" w:rsidRDefault="00994FA3" w:rsidP="00EA4997">
            <w:pPr>
              <w:rPr>
                <w:szCs w:val="20"/>
              </w:rPr>
            </w:pPr>
          </w:p>
        </w:tc>
        <w:tc>
          <w:tcPr>
            <w:tcW w:w="2221" w:type="dxa"/>
          </w:tcPr>
          <w:p w:rsidR="00994FA3" w:rsidRPr="00542611" w:rsidRDefault="00994FA3" w:rsidP="00EA4997">
            <w:pPr>
              <w:rPr>
                <w:szCs w:val="20"/>
              </w:rPr>
            </w:pPr>
          </w:p>
        </w:tc>
        <w:tc>
          <w:tcPr>
            <w:tcW w:w="2221" w:type="dxa"/>
          </w:tcPr>
          <w:p w:rsidR="00994FA3" w:rsidRPr="00542611" w:rsidRDefault="00994FA3" w:rsidP="00EA4997">
            <w:pPr>
              <w:rPr>
                <w:szCs w:val="20"/>
              </w:rPr>
            </w:pPr>
          </w:p>
        </w:tc>
      </w:tr>
      <w:tr w:rsidR="00994FA3" w:rsidTr="00EA4997">
        <w:tc>
          <w:tcPr>
            <w:tcW w:w="3227" w:type="dxa"/>
          </w:tcPr>
          <w:p w:rsidR="00994FA3" w:rsidRPr="00542611" w:rsidRDefault="00994FA3" w:rsidP="00EA4997">
            <w:pPr>
              <w:rPr>
                <w:szCs w:val="20"/>
              </w:rPr>
            </w:pPr>
            <w:r w:rsidRPr="00542611">
              <w:rPr>
                <w:szCs w:val="20"/>
              </w:rPr>
              <w:t>Test with Benedict’s solution</w:t>
            </w:r>
          </w:p>
        </w:tc>
        <w:tc>
          <w:tcPr>
            <w:tcW w:w="2220" w:type="dxa"/>
          </w:tcPr>
          <w:p w:rsidR="00994FA3" w:rsidRPr="00542611" w:rsidRDefault="00994FA3" w:rsidP="00EA4997">
            <w:pPr>
              <w:rPr>
                <w:szCs w:val="20"/>
              </w:rPr>
            </w:pPr>
          </w:p>
        </w:tc>
        <w:tc>
          <w:tcPr>
            <w:tcW w:w="2221" w:type="dxa"/>
          </w:tcPr>
          <w:p w:rsidR="00994FA3" w:rsidRPr="00542611" w:rsidRDefault="00994FA3" w:rsidP="00EA4997">
            <w:pPr>
              <w:rPr>
                <w:szCs w:val="20"/>
              </w:rPr>
            </w:pPr>
          </w:p>
        </w:tc>
        <w:tc>
          <w:tcPr>
            <w:tcW w:w="2221" w:type="dxa"/>
          </w:tcPr>
          <w:p w:rsidR="00994FA3" w:rsidRPr="00542611" w:rsidRDefault="00994FA3" w:rsidP="00EA4997">
            <w:pPr>
              <w:rPr>
                <w:szCs w:val="20"/>
              </w:rPr>
            </w:pPr>
          </w:p>
        </w:tc>
      </w:tr>
    </w:tbl>
    <w:p w:rsidR="00994FA3" w:rsidRDefault="00994FA3" w:rsidP="00994FA3"/>
    <w:p w:rsidR="00994FA3" w:rsidRDefault="00994FA3" w:rsidP="00994FA3">
      <w:pPr>
        <w:numPr>
          <w:ilvl w:val="0"/>
          <w:numId w:val="31"/>
        </w:numPr>
      </w:pPr>
      <w:r>
        <w:t>From the preliminary tests and your observations, describe the action salivary amylase has on boiled rice, a starch-rich food. What effect does heating have?</w:t>
      </w:r>
    </w:p>
    <w:p w:rsidR="00994FA3" w:rsidRDefault="00994FA3" w:rsidP="00994FA3">
      <w:pPr>
        <w:pBdr>
          <w:top w:val="single" w:sz="4" w:space="1" w:color="auto"/>
          <w:left w:val="single" w:sz="4" w:space="4" w:color="auto"/>
          <w:bottom w:val="single" w:sz="4" w:space="0" w:color="auto"/>
          <w:right w:val="single" w:sz="4" w:space="4" w:color="auto"/>
        </w:pBdr>
      </w:pPr>
    </w:p>
    <w:p w:rsidR="00994FA3" w:rsidRDefault="00994FA3" w:rsidP="00994FA3">
      <w:pPr>
        <w:pBdr>
          <w:top w:val="single" w:sz="4" w:space="1" w:color="auto"/>
          <w:left w:val="single" w:sz="4" w:space="4" w:color="auto"/>
          <w:bottom w:val="single" w:sz="4" w:space="0" w:color="auto"/>
          <w:right w:val="single" w:sz="4" w:space="4" w:color="auto"/>
        </w:pBdr>
      </w:pPr>
    </w:p>
    <w:p w:rsidR="00994FA3" w:rsidRDefault="00994FA3" w:rsidP="00994FA3">
      <w:pPr>
        <w:pBdr>
          <w:top w:val="single" w:sz="4" w:space="1" w:color="auto"/>
          <w:left w:val="single" w:sz="4" w:space="4" w:color="auto"/>
          <w:bottom w:val="single" w:sz="4" w:space="0" w:color="auto"/>
          <w:right w:val="single" w:sz="4" w:space="4" w:color="auto"/>
        </w:pBdr>
      </w:pPr>
    </w:p>
    <w:p w:rsidR="00994FA3" w:rsidRDefault="00994FA3" w:rsidP="00994FA3">
      <w:pPr>
        <w:pBdr>
          <w:top w:val="single" w:sz="4" w:space="1" w:color="auto"/>
          <w:left w:val="single" w:sz="4" w:space="4" w:color="auto"/>
          <w:bottom w:val="single" w:sz="4" w:space="0" w:color="auto"/>
          <w:right w:val="single" w:sz="4" w:space="4" w:color="auto"/>
        </w:pBdr>
      </w:pPr>
    </w:p>
    <w:p w:rsidR="00E45AD5" w:rsidRPr="00994FA3" w:rsidRDefault="00E45AD5" w:rsidP="00994FA3"/>
    <w:sectPr w:rsidR="00E45AD5" w:rsidRPr="00994FA3" w:rsidSect="00D61DC9">
      <w:headerReference w:type="default" r:id="rId7"/>
      <w:footerReference w:type="default" r:id="rId8"/>
      <w:pgSz w:w="11900" w:h="16840" w:code="9"/>
      <w:pgMar w:top="791" w:right="1134" w:bottom="1134" w:left="1134" w:header="56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E5D" w:rsidRDefault="00D04E5D">
      <w:r>
        <w:separator/>
      </w:r>
    </w:p>
  </w:endnote>
  <w:endnote w:type="continuationSeparator" w:id="0">
    <w:p w:rsidR="00D04E5D" w:rsidRDefault="00D0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12" w:rsidRDefault="00165A12" w:rsidP="00165A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65A12" w:rsidRPr="0007046E" w:rsidRDefault="00165A12" w:rsidP="00165A12">
    <w:pPr>
      <w:pStyle w:val="Header"/>
      <w:rPr>
        <w:rFonts w:cs="Arial"/>
        <w:color w:val="3366FF"/>
      </w:rPr>
    </w:pPr>
    <w:r w:rsidRPr="0007046E">
      <w:rPr>
        <w:rFonts w:cs="Arial"/>
        <w:color w:val="3366FF"/>
      </w:rPr>
      <w:t>© Copyright. Science Learning Hub, The University of Waikato.</w:t>
    </w:r>
  </w:p>
  <w:p w:rsidR="00747429" w:rsidRPr="00165A12" w:rsidRDefault="00165A12" w:rsidP="00165A12">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E5D" w:rsidRDefault="00D04E5D">
      <w:r>
        <w:separator/>
      </w:r>
    </w:p>
  </w:footnote>
  <w:footnote w:type="continuationSeparator" w:id="0">
    <w:p w:rsidR="00D04E5D" w:rsidRDefault="00D0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65A12" w:rsidRPr="00251C18" w:rsidTr="005E77D3">
      <w:tc>
        <w:tcPr>
          <w:tcW w:w="1980" w:type="dxa"/>
          <w:shd w:val="clear" w:color="auto" w:fill="auto"/>
        </w:tcPr>
        <w:p w:rsidR="00165A12" w:rsidRPr="00251C18" w:rsidRDefault="00165A12" w:rsidP="00165A12">
          <w:pPr>
            <w:pStyle w:val="Header"/>
            <w:rPr>
              <w:rFonts w:cs="Arial"/>
              <w:color w:val="3366FF"/>
            </w:rPr>
          </w:pPr>
        </w:p>
      </w:tc>
      <w:tc>
        <w:tcPr>
          <w:tcW w:w="7654" w:type="dxa"/>
          <w:shd w:val="clear" w:color="auto" w:fill="auto"/>
          <w:vAlign w:val="center"/>
        </w:tcPr>
        <w:p w:rsidR="00165A12" w:rsidRPr="00251C18" w:rsidRDefault="00165A12" w:rsidP="00165A12">
          <w:pPr>
            <w:pStyle w:val="Header"/>
            <w:rPr>
              <w:rFonts w:cs="Arial"/>
              <w:color w:val="3366FF"/>
            </w:rPr>
          </w:pPr>
          <w:r>
            <w:rPr>
              <w:rFonts w:cs="Arial"/>
              <w:color w:val="3366FF"/>
            </w:rPr>
            <w:t>Activity: Salivary amylase and starch</w:t>
          </w:r>
          <w:r w:rsidRPr="00251C18">
            <w:rPr>
              <w:rFonts w:cs="Arial"/>
              <w:color w:val="3366FF"/>
            </w:rPr>
            <w:t xml:space="preserve"> </w:t>
          </w:r>
        </w:p>
      </w:tc>
    </w:tr>
  </w:tbl>
  <w:p w:rsidR="00165A12" w:rsidRDefault="00165A12" w:rsidP="00165A12">
    <w:pPr>
      <w:pStyle w:val="Heade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5A9" w:rsidRPr="00165A12" w:rsidRDefault="008115A9" w:rsidP="00165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15:restartNumberingAfterBreak="0">
    <w:nsid w:val="00295877"/>
    <w:multiLevelType w:val="hybridMultilevel"/>
    <w:tmpl w:val="0F44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B0DE1"/>
    <w:multiLevelType w:val="hybridMultilevel"/>
    <w:tmpl w:val="7C16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2A2843"/>
    <w:multiLevelType w:val="hybridMultilevel"/>
    <w:tmpl w:val="8362D5E8"/>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DDA06B4"/>
    <w:multiLevelType w:val="hybridMultilevel"/>
    <w:tmpl w:val="90A21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FB80B8E"/>
    <w:multiLevelType w:val="hybridMultilevel"/>
    <w:tmpl w:val="D8F6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3" w15:restartNumberingAfterBreak="0">
    <w:nsid w:val="2C556ED2"/>
    <w:multiLevelType w:val="hybridMultilevel"/>
    <w:tmpl w:val="730E5E88"/>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1B94582"/>
    <w:multiLevelType w:val="hybridMultilevel"/>
    <w:tmpl w:val="91BA050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49E524C"/>
    <w:multiLevelType w:val="hybridMultilevel"/>
    <w:tmpl w:val="EC8697F6"/>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9F1EEC"/>
    <w:multiLevelType w:val="hybridMultilevel"/>
    <w:tmpl w:val="1A4E8B6C"/>
    <w:lvl w:ilvl="0" w:tplc="CCD0D6B2">
      <w:numFmt w:val="bullet"/>
      <w:lvlText w:val="-"/>
      <w:lvlJc w:val="left"/>
      <w:pPr>
        <w:tabs>
          <w:tab w:val="num" w:pos="720"/>
        </w:tabs>
        <w:ind w:left="720" w:hanging="360"/>
      </w:pPr>
      <w:rPr>
        <w:rFonts w:ascii="Arial" w:eastAsia="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364243"/>
    <w:multiLevelType w:val="hybridMultilevel"/>
    <w:tmpl w:val="70B8DBD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8DB1D31"/>
    <w:multiLevelType w:val="hybridMultilevel"/>
    <w:tmpl w:val="2272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80E65"/>
    <w:multiLevelType w:val="hybridMultilevel"/>
    <w:tmpl w:val="B19A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904AE"/>
    <w:multiLevelType w:val="hybridMultilevel"/>
    <w:tmpl w:val="8EF0093A"/>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D822C9"/>
    <w:multiLevelType w:val="hybridMultilevel"/>
    <w:tmpl w:val="4AAC2234"/>
    <w:lvl w:ilvl="0" w:tplc="1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8B2126"/>
    <w:multiLevelType w:val="multilevel"/>
    <w:tmpl w:val="1A4E8B6C"/>
    <w:lvl w:ilvl="0">
      <w:numFmt w:val="bullet"/>
      <w:lvlText w:val="-"/>
      <w:lvlJc w:val="left"/>
      <w:pPr>
        <w:tabs>
          <w:tab w:val="num" w:pos="720"/>
        </w:tabs>
        <w:ind w:left="720" w:hanging="360"/>
      </w:pPr>
      <w:rPr>
        <w:rFonts w:ascii="Arial" w:eastAsia="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764F16EF"/>
    <w:multiLevelType w:val="hybridMultilevel"/>
    <w:tmpl w:val="FFCA8C9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2"/>
  </w:num>
  <w:num w:numId="4">
    <w:abstractNumId w:val="9"/>
  </w:num>
  <w:num w:numId="5">
    <w:abstractNumId w:val="25"/>
  </w:num>
  <w:num w:numId="6">
    <w:abstractNumId w:val="19"/>
  </w:num>
  <w:num w:numId="7">
    <w:abstractNumId w:val="16"/>
  </w:num>
  <w:num w:numId="8">
    <w:abstractNumId w:val="18"/>
  </w:num>
  <w:num w:numId="9">
    <w:abstractNumId w:val="30"/>
  </w:num>
  <w:num w:numId="10">
    <w:abstractNumId w:val="7"/>
  </w:num>
  <w:num w:numId="11">
    <w:abstractNumId w:val="11"/>
  </w:num>
  <w:num w:numId="12">
    <w:abstractNumId w:val="3"/>
  </w:num>
  <w:num w:numId="13">
    <w:abstractNumId w:val="28"/>
  </w:num>
  <w:num w:numId="14">
    <w:abstractNumId w:val="8"/>
  </w:num>
  <w:num w:numId="15">
    <w:abstractNumId w:val="17"/>
  </w:num>
  <w:num w:numId="16">
    <w:abstractNumId w:val="27"/>
  </w:num>
  <w:num w:numId="17">
    <w:abstractNumId w:val="24"/>
  </w:num>
  <w:num w:numId="18">
    <w:abstractNumId w:val="15"/>
  </w:num>
  <w:num w:numId="19">
    <w:abstractNumId w:val="13"/>
  </w:num>
  <w:num w:numId="20">
    <w:abstractNumId w:val="29"/>
  </w:num>
  <w:num w:numId="21">
    <w:abstractNumId w:val="6"/>
  </w:num>
  <w:num w:numId="22">
    <w:abstractNumId w:val="2"/>
  </w:num>
  <w:num w:numId="23">
    <w:abstractNumId w:val="22"/>
  </w:num>
  <w:num w:numId="24">
    <w:abstractNumId w:val="21"/>
  </w:num>
  <w:num w:numId="25">
    <w:abstractNumId w:val="10"/>
  </w:num>
  <w:num w:numId="26">
    <w:abstractNumId w:val="23"/>
  </w:num>
  <w:num w:numId="27">
    <w:abstractNumId w:val="26"/>
  </w:num>
  <w:num w:numId="28">
    <w:abstractNumId w:val="14"/>
  </w:num>
  <w:num w:numId="29">
    <w:abstractNumId w:val="5"/>
  </w:num>
  <w:num w:numId="30">
    <w:abstractNumId w:val="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33"/>
    <w:rsid w:val="000F0DD1"/>
    <w:rsid w:val="00165A12"/>
    <w:rsid w:val="00193A7F"/>
    <w:rsid w:val="0027466D"/>
    <w:rsid w:val="002A0B19"/>
    <w:rsid w:val="002E77BB"/>
    <w:rsid w:val="00340504"/>
    <w:rsid w:val="00341881"/>
    <w:rsid w:val="003661A3"/>
    <w:rsid w:val="00382E1B"/>
    <w:rsid w:val="003F7EB1"/>
    <w:rsid w:val="00420957"/>
    <w:rsid w:val="004C37B1"/>
    <w:rsid w:val="0065161F"/>
    <w:rsid w:val="00747429"/>
    <w:rsid w:val="007C70F1"/>
    <w:rsid w:val="008115A9"/>
    <w:rsid w:val="008903C8"/>
    <w:rsid w:val="00994FA3"/>
    <w:rsid w:val="00A247A9"/>
    <w:rsid w:val="00A26094"/>
    <w:rsid w:val="00AE5761"/>
    <w:rsid w:val="00B22111"/>
    <w:rsid w:val="00B9374A"/>
    <w:rsid w:val="00C65EAA"/>
    <w:rsid w:val="00D04E5D"/>
    <w:rsid w:val="00D264FE"/>
    <w:rsid w:val="00D61DC9"/>
    <w:rsid w:val="00D64B16"/>
    <w:rsid w:val="00E1478E"/>
    <w:rsid w:val="00E45AD5"/>
    <w:rsid w:val="00E631A3"/>
    <w:rsid w:val="00E828B2"/>
    <w:rsid w:val="00EA4997"/>
    <w:rsid w:val="00ED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92BF3B6"/>
  <w15:chartTrackingRefBased/>
  <w15:docId w15:val="{6D437FCD-D235-4A0B-862E-2B49D4D0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basedOn w:val="DefaultParagraphFont"/>
    <w:link w:val="Heading1"/>
    <w:rsid w:val="00D20B33"/>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basedOn w:val="DefaultParagraphFont"/>
    <w:link w:val="BodyText"/>
    <w:rsid w:val="00D20B33"/>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D20B33"/>
    <w:rPr>
      <w:rFonts w:ascii="Helvetica" w:eastAsia="Times New Roman" w:hAnsi="Helvetica" w:cs="Times New Roman"/>
      <w:b/>
      <w:sz w:val="26"/>
      <w:szCs w:val="24"/>
      <w:lang w:val="en-US"/>
    </w:rPr>
  </w:style>
  <w:style w:type="character" w:styleId="PageNumber">
    <w:name w:val="page number"/>
    <w:basedOn w:val="DefaultParagraphFont"/>
    <w:rsid w:val="00D20B33"/>
    <w:rPr>
      <w:rFonts w:ascii="Verdana" w:hAnsi="Verdana"/>
      <w:sz w:val="16"/>
    </w:rPr>
  </w:style>
  <w:style w:type="character" w:styleId="FootnoteReference">
    <w:name w:val="footnote reference"/>
    <w:basedOn w:val="DefaultParagraphFont"/>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basedOn w:val="DefaultParagraphFont"/>
    <w:link w:val="FootnoteText"/>
    <w:rsid w:val="00D20B33"/>
    <w:rPr>
      <w:rFonts w:ascii="Verdana" w:eastAsia="Times New Roman" w:hAnsi="Verdana" w:cs="Times New Roman"/>
      <w:sz w:val="16"/>
      <w:szCs w:val="24"/>
      <w:lang w:val="en-GB" w:eastAsia="en-GB"/>
    </w:rPr>
  </w:style>
  <w:style w:type="character" w:styleId="Hyperlink">
    <w:name w:val="Hyperlink"/>
    <w:basedOn w:val="DefaultParagraphFont"/>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basedOn w:val="DefaultParagraphFont"/>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basedOn w:val="DefaultParagraphFont"/>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basedOn w:val="DefaultParagraphFont"/>
    <w:link w:val="CommentText"/>
    <w:semiHidden/>
    <w:rsid w:val="00D20B33"/>
    <w:rPr>
      <w:rFonts w:ascii="Verdana" w:eastAsia="Times New Roman" w:hAnsi="Verdana"/>
      <w:lang w:val="en-GB" w:eastAsia="ar-SA"/>
    </w:rPr>
  </w:style>
  <w:style w:type="paragraph" w:styleId="CommentText">
    <w:name w:val="annotation text"/>
    <w:basedOn w:val="Normal"/>
    <w:link w:val="CommentTextChar"/>
    <w:semiHidden/>
    <w:rsid w:val="00D20B33"/>
    <w:rPr>
      <w:szCs w:val="20"/>
    </w:rPr>
  </w:style>
  <w:style w:type="character" w:customStyle="1" w:styleId="CommentTextChar1">
    <w:name w:val="Comment Text Char1"/>
    <w:basedOn w:val="DefaultParagraphFont"/>
    <w:link w:val="CommentTex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basedOn w:val="CommentText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basedOn w:val="CommentTextChar1"/>
    <w:link w:val="CommentSubject"/>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basedOn w:val="DefaultParagraphFont"/>
    <w:rsid w:val="00D20B33"/>
    <w:rPr>
      <w:color w:val="800080"/>
      <w:u w:val="single"/>
    </w:rPr>
  </w:style>
  <w:style w:type="character" w:customStyle="1" w:styleId="CharChar3">
    <w:name w:val=" Char Char3"/>
    <w:basedOn w:val="DefaultParagraphFont"/>
    <w:rsid w:val="00D20B33"/>
    <w:rPr>
      <w:rFonts w:ascii="Verdana" w:hAnsi="Verdana"/>
      <w:szCs w:val="24"/>
      <w:lang w:val="en-GB" w:eastAsia="en-GB" w:bidi="ar-SA"/>
    </w:rPr>
  </w:style>
  <w:style w:type="character" w:customStyle="1" w:styleId="CharChar">
    <w:name w:val=" Char Char"/>
    <w:basedOn w:val="DefaultParagraphFont"/>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4E79"/>
    <w:rPr>
      <w:rFonts w:ascii="Lucida Grande" w:hAnsi="Lucida Grande"/>
      <w:sz w:val="18"/>
      <w:szCs w:val="18"/>
    </w:rPr>
  </w:style>
  <w:style w:type="character" w:customStyle="1" w:styleId="BalloonTextChar">
    <w:name w:val="Balloon Text Char"/>
    <w:basedOn w:val="DefaultParagraphFont"/>
    <w:link w:val="BalloonText"/>
    <w:uiPriority w:val="99"/>
    <w:semiHidden/>
    <w:rsid w:val="00B64E79"/>
    <w:rPr>
      <w:rFonts w:ascii="Lucida Grande" w:eastAsia="Times New Roman" w:hAnsi="Lucida Grande"/>
      <w:sz w:val="18"/>
      <w:szCs w:val="18"/>
      <w:lang w:val="en-GB" w:eastAsia="ar-SA"/>
    </w:rPr>
  </w:style>
  <w:style w:type="character" w:customStyle="1" w:styleId="HeaderChar1">
    <w:name w:val="Header Char1"/>
    <w:locked/>
    <w:rsid w:val="00165A12"/>
    <w:rPr>
      <w:rFonts w:ascii="Verdana" w:hAnsi="Verdana"/>
      <w:sz w:val="24"/>
      <w:lang w:val="en-GB" w:eastAsia="en-GB"/>
    </w:rPr>
  </w:style>
  <w:style w:type="character" w:customStyle="1" w:styleId="FooterChar2">
    <w:name w:val="Footer Char2"/>
    <w:locked/>
    <w:rsid w:val="00165A12"/>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5524</CharactersWithSpaces>
  <SharedDoc>false</SharedDoc>
  <HLinks>
    <vt:vector size="36" baseType="variant">
      <vt:variant>
        <vt:i4>8323182</vt:i4>
      </vt:variant>
      <vt:variant>
        <vt:i4>12</vt:i4>
      </vt:variant>
      <vt:variant>
        <vt:i4>0</vt:i4>
      </vt:variant>
      <vt:variant>
        <vt:i4>5</vt:i4>
      </vt:variant>
      <vt:variant>
        <vt:lpwstr/>
      </vt:variant>
      <vt:variant>
        <vt:lpwstr>testing</vt:lpwstr>
      </vt:variant>
      <vt:variant>
        <vt:i4>8323182</vt:i4>
      </vt:variant>
      <vt:variant>
        <vt:i4>9</vt:i4>
      </vt:variant>
      <vt:variant>
        <vt:i4>0</vt:i4>
      </vt:variant>
      <vt:variant>
        <vt:i4>5</vt:i4>
      </vt:variant>
      <vt:variant>
        <vt:lpwstr/>
      </vt:variant>
      <vt:variant>
        <vt:lpwstr>testing</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Christina Schipper</cp:lastModifiedBy>
  <cp:revision>2</cp:revision>
  <dcterms:created xsi:type="dcterms:W3CDTF">2017-01-25T01:24:00Z</dcterms:created>
  <dcterms:modified xsi:type="dcterms:W3CDTF">2017-01-25T01:24:00Z</dcterms:modified>
</cp:coreProperties>
</file>