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FC088EA" w14:textId="77777777" w:rsidR="00E41D29" w:rsidRDefault="002316FE">
      <w:pPr>
        <w:jc w:val="center"/>
        <w:rPr>
          <w:b/>
          <w:sz w:val="24"/>
          <w:szCs w:val="24"/>
        </w:rPr>
      </w:pPr>
      <w:bookmarkStart w:id="0" w:name="_heading=h.17dp8vu" w:colFirst="0" w:colLast="0"/>
      <w:bookmarkEnd w:id="0"/>
      <w:r>
        <w:rPr>
          <w:b/>
          <w:sz w:val="24"/>
          <w:szCs w:val="24"/>
        </w:rPr>
        <w:t>ACTIVITY: Will this float or sink?</w:t>
      </w:r>
    </w:p>
    <w:p w14:paraId="4FC088EB" w14:textId="77777777" w:rsidR="00E41D29" w:rsidRDefault="00E41D29">
      <w:pPr>
        <w:jc w:val="center"/>
        <w:rPr>
          <w:b/>
        </w:rPr>
      </w:pPr>
      <w:bookmarkStart w:id="1" w:name="_heading=h.3rdcrjn" w:colFirst="0" w:colLast="0"/>
      <w:bookmarkEnd w:id="1"/>
    </w:p>
    <w:p w14:paraId="4FC088EC" w14:textId="77777777" w:rsidR="00E41D29" w:rsidRDefault="002316FE">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4FC088ED" w14:textId="77777777" w:rsidR="00E41D29" w:rsidRDefault="00E41D29">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FC088EE" w14:textId="77777777" w:rsidR="00E41D29" w:rsidRDefault="002316FE">
      <w:pPr>
        <w:pBdr>
          <w:top w:val="single" w:sz="4" w:space="1" w:color="000000"/>
          <w:left w:val="single" w:sz="4" w:space="4" w:color="000000"/>
          <w:bottom w:val="single" w:sz="4" w:space="1" w:color="000000"/>
          <w:right w:val="single" w:sz="4" w:space="4" w:color="000000"/>
        </w:pBdr>
      </w:pPr>
      <w:r>
        <w:t>In this activity, students use an interactive or paper-based graphic organiser to consider whether an object floats or sinks.</w:t>
      </w:r>
    </w:p>
    <w:p w14:paraId="4FC088EF" w14:textId="77777777" w:rsidR="00E41D29" w:rsidRDefault="00E41D29">
      <w:pPr>
        <w:pBdr>
          <w:top w:val="single" w:sz="4" w:space="1" w:color="000000"/>
          <w:left w:val="single" w:sz="4" w:space="4" w:color="000000"/>
          <w:bottom w:val="single" w:sz="4" w:space="1" w:color="000000"/>
          <w:right w:val="single" w:sz="4" w:space="4" w:color="000000"/>
        </w:pBdr>
        <w:rPr>
          <w:b/>
        </w:rPr>
      </w:pPr>
    </w:p>
    <w:p w14:paraId="4FC088F0" w14:textId="77777777" w:rsidR="00E41D29" w:rsidRDefault="002316FE">
      <w:pPr>
        <w:pBdr>
          <w:top w:val="single" w:sz="4" w:space="1" w:color="000000"/>
          <w:left w:val="single" w:sz="4" w:space="4" w:color="000000"/>
          <w:bottom w:val="single" w:sz="4" w:space="1" w:color="000000"/>
          <w:right w:val="single" w:sz="4" w:space="4" w:color="000000"/>
        </w:pBdr>
      </w:pPr>
      <w:r>
        <w:t>By the end of this activity, students should be able to:</w:t>
      </w:r>
    </w:p>
    <w:p w14:paraId="4FC088F1" w14:textId="77777777" w:rsidR="00E41D29" w:rsidRDefault="002316FE">
      <w:pPr>
        <w:numPr>
          <w:ilvl w:val="0"/>
          <w:numId w:val="14"/>
        </w:numPr>
        <w:pBdr>
          <w:top w:val="single" w:sz="4" w:space="1" w:color="000000"/>
          <w:left w:val="single" w:sz="4" w:space="4" w:color="000000"/>
          <w:bottom w:val="single" w:sz="4" w:space="1" w:color="000000"/>
          <w:right w:val="single" w:sz="4" w:space="4" w:color="000000"/>
        </w:pBdr>
      </w:pPr>
      <w:r>
        <w:t>use their prior knowledge to make choices about whether an item floats or sinks</w:t>
      </w:r>
    </w:p>
    <w:p w14:paraId="4FC088F2" w14:textId="77777777" w:rsidR="00E41D29" w:rsidRDefault="002316FE">
      <w:pPr>
        <w:numPr>
          <w:ilvl w:val="0"/>
          <w:numId w:val="14"/>
        </w:numPr>
        <w:pBdr>
          <w:top w:val="single" w:sz="4" w:space="1" w:color="000000"/>
          <w:left w:val="single" w:sz="4" w:space="4" w:color="000000"/>
          <w:bottom w:val="single" w:sz="4" w:space="1" w:color="000000"/>
          <w:right w:val="single" w:sz="4" w:space="4" w:color="000000"/>
        </w:pBdr>
      </w:pPr>
      <w:r>
        <w:t>begin to use appropriate content vocabulary</w:t>
      </w:r>
    </w:p>
    <w:p w14:paraId="4FC088F3" w14:textId="77777777" w:rsidR="00E41D29" w:rsidRDefault="002316FE">
      <w:pPr>
        <w:numPr>
          <w:ilvl w:val="0"/>
          <w:numId w:val="14"/>
        </w:numPr>
        <w:pBdr>
          <w:top w:val="single" w:sz="4" w:space="1" w:color="000000"/>
          <w:left w:val="single" w:sz="4" w:space="4" w:color="000000"/>
          <w:bottom w:val="single" w:sz="4" w:space="1" w:color="000000"/>
          <w:right w:val="single" w:sz="4" w:space="4" w:color="000000"/>
        </w:pBdr>
      </w:pPr>
      <w:r>
        <w:t xml:space="preserve">begin to provide evidence to support their choices </w:t>
      </w:r>
    </w:p>
    <w:p w14:paraId="4FC088F4" w14:textId="77777777" w:rsidR="00E41D29" w:rsidRDefault="002316FE">
      <w:pPr>
        <w:numPr>
          <w:ilvl w:val="0"/>
          <w:numId w:val="14"/>
        </w:numPr>
        <w:pBdr>
          <w:top w:val="single" w:sz="4" w:space="1" w:color="000000"/>
          <w:left w:val="single" w:sz="4" w:space="4" w:color="000000"/>
          <w:bottom w:val="single" w:sz="4" w:space="1" w:color="000000"/>
          <w:right w:val="single" w:sz="4" w:space="4" w:color="000000"/>
        </w:pBdr>
      </w:pPr>
      <w:r>
        <w:t>discuss their ideas with others who may hold different views.</w:t>
      </w:r>
    </w:p>
    <w:p w14:paraId="4FC088F5" w14:textId="77777777" w:rsidR="00E41D29" w:rsidRDefault="00E41D29"/>
    <w:p w14:paraId="4FC088F6" w14:textId="77777777" w:rsidR="00E41D29" w:rsidRDefault="002316FE">
      <w:pPr>
        <w:rPr>
          <w:b/>
          <w:color w:val="FF0000"/>
        </w:rPr>
      </w:pPr>
      <w:r>
        <w:rPr>
          <w:b/>
        </w:rPr>
        <w:t>For teachers</w:t>
      </w:r>
    </w:p>
    <w:p w14:paraId="4FC088F7" w14:textId="77777777" w:rsidR="00E41D29" w:rsidRDefault="00E41D29">
      <w:pPr>
        <w:rPr>
          <w:b/>
        </w:rPr>
      </w:pPr>
    </w:p>
    <w:p w14:paraId="4FC088F8" w14:textId="77777777" w:rsidR="00E41D29" w:rsidRDefault="002316FE">
      <w:pPr>
        <w:rPr>
          <w:b/>
          <w:i/>
        </w:rPr>
      </w:pPr>
      <w:r>
        <w:rPr>
          <w:b/>
          <w:i/>
        </w:rPr>
        <w:t>Introduction/background</w:t>
      </w:r>
    </w:p>
    <w:p w14:paraId="4FC088F9" w14:textId="77777777" w:rsidR="00E41D29" w:rsidRDefault="00E41D29"/>
    <w:p w14:paraId="4FC088FA" w14:textId="77777777" w:rsidR="00E41D29" w:rsidRDefault="002316FE">
      <w:r>
        <w:t>Use this activity prior to teaching about floating and sinking to gauge students’ thinking about why some things float or sink. Consider using this activity again – during the teaching process or at the end of a unit for formative assessment.</w:t>
      </w:r>
    </w:p>
    <w:p w14:paraId="4FC088FB" w14:textId="77777777" w:rsidR="00E41D29" w:rsidRDefault="00E41D29"/>
    <w:p w14:paraId="4FC088FC" w14:textId="1C12DB77" w:rsidR="00E41D29" w:rsidRDefault="002316FE">
      <w:r>
        <w:t xml:space="preserve">The science concepts that underpin whether an object floats or sinks – density, displacement and forces – are quite complex. Understanding these concepts and forming accurate conceptions requires time and multiple learning experiences. Experiencing, identifying and describing the patterns associated with this physical phenomenon feature in levels 1–5 of the New Zealand Curriculum. The </w:t>
      </w:r>
      <w:r w:rsidRPr="00136425">
        <w:t xml:space="preserve">article </w:t>
      </w:r>
      <w:hyperlink r:id="rId8" w:history="1">
        <w:r w:rsidRPr="00136425">
          <w:rPr>
            <w:rStyle w:val="Hyperlink"/>
          </w:rPr>
          <w:t>Building Science Concepts: Floating and sinking</w:t>
        </w:r>
      </w:hyperlink>
      <w:r w:rsidRPr="00136425">
        <w:t xml:space="preserve"> has useful background information for educators. The activities </w:t>
      </w:r>
      <w:hyperlink r:id="rId9" w:history="1">
        <w:r w:rsidRPr="00136425">
          <w:rPr>
            <w:rStyle w:val="Hyperlink"/>
          </w:rPr>
          <w:t>Investigating floating and sinking</w:t>
        </w:r>
      </w:hyperlink>
      <w:r w:rsidRPr="00136425">
        <w:t xml:space="preserve"> and </w:t>
      </w:r>
      <w:hyperlink r:id="rId10" w:history="1">
        <w:r w:rsidRPr="00136425">
          <w:rPr>
            <w:rStyle w:val="Hyperlink"/>
          </w:rPr>
          <w:t>Floating and sinking – exploring forces</w:t>
        </w:r>
      </w:hyperlink>
      <w:r>
        <w:t xml:space="preserve"> provide hands-on opportunities for play and observation.</w:t>
      </w:r>
    </w:p>
    <w:p w14:paraId="4FC088FD" w14:textId="77777777" w:rsidR="00E41D29" w:rsidRDefault="00E41D29"/>
    <w:p w14:paraId="4FC088FE" w14:textId="77777777" w:rsidR="00E41D29" w:rsidRDefault="002316FE">
      <w:r>
        <w:t>Some of the images in the interactive are not straightforward. This is meant to encourage student thinking and debate. For example, a paper ball or dry pumice may float initially but sink when it becomes waterlogged, and a toy car made of metal may float while one made of plastic may sink. (Pumice is an unusual rock due to its porosity. It is capable of floating, sometimes for years, until it becomes waterlogged and sinks.)</w:t>
      </w:r>
    </w:p>
    <w:p w14:paraId="4FC088FF" w14:textId="77777777" w:rsidR="00E41D29" w:rsidRDefault="00E41D29"/>
    <w:p w14:paraId="4FC08900" w14:textId="77777777" w:rsidR="00E41D29" w:rsidRDefault="002316FE">
      <w:pPr>
        <w:rPr>
          <w:b/>
          <w:i/>
        </w:rPr>
      </w:pPr>
      <w:r>
        <w:rPr>
          <w:b/>
          <w:i/>
        </w:rPr>
        <w:t>Alternative conceptions</w:t>
      </w:r>
    </w:p>
    <w:p w14:paraId="4FC08901" w14:textId="77777777" w:rsidR="00E41D29" w:rsidRDefault="00E41D29"/>
    <w:p w14:paraId="4FC08902" w14:textId="77777777" w:rsidR="00E41D29" w:rsidRDefault="002316FE">
      <w:r>
        <w:t>Most students will have experiences with floating and sinking – from time spent in the bath, lake or pool. Through play and observation, they will have created their own concepts and explanations regarding why things float or not. They may have also developed personal vocabulary to describe their experiences. It’s important to address content vocabulary. There are many words with common meanings that differ from scientific meanings – for example, ‘float’, ‘sink’ and ‘light’ have multiple meanings</w:t>
      </w:r>
    </w:p>
    <w:p w14:paraId="4FC08903" w14:textId="77777777" w:rsidR="00E41D29" w:rsidRDefault="00E41D29"/>
    <w:p w14:paraId="4FC08904" w14:textId="390B5960" w:rsidR="00E41D29" w:rsidRPr="0070277E" w:rsidRDefault="002316FE">
      <w:r w:rsidRPr="0070277E">
        <w:rPr>
          <w:rFonts w:eastAsia="Arial Unicode MS" w:cs="Arial Unicode MS"/>
        </w:rPr>
        <w:t>Students often hold alternative conceptions regarding floating and sinking, most commonly involving size and weight. Students will most often think that an object ﬂoats because it is small and/or light and it sinks because it is big and/or heavy. Additional alternative conceptions include:</w:t>
      </w:r>
    </w:p>
    <w:p w14:paraId="4FC08905" w14:textId="77777777" w:rsidR="00E41D29" w:rsidRDefault="002316FE">
      <w:pPr>
        <w:numPr>
          <w:ilvl w:val="0"/>
          <w:numId w:val="5"/>
        </w:numPr>
      </w:pPr>
      <w:r>
        <w:t>the softness of an object – soft objects are more likely to float than hard objects</w:t>
      </w:r>
    </w:p>
    <w:p w14:paraId="4FC08906" w14:textId="77777777" w:rsidR="00E41D29" w:rsidRDefault="002316FE">
      <w:pPr>
        <w:numPr>
          <w:ilvl w:val="0"/>
          <w:numId w:val="5"/>
        </w:numPr>
      </w:pPr>
      <w:r>
        <w:t>hollowness – objects only float because they are hollow/have air inside of them</w:t>
      </w:r>
    </w:p>
    <w:p w14:paraId="4FC08907" w14:textId="77777777" w:rsidR="00E41D29" w:rsidRDefault="002316FE">
      <w:pPr>
        <w:numPr>
          <w:ilvl w:val="0"/>
          <w:numId w:val="5"/>
        </w:numPr>
      </w:pPr>
      <w:r>
        <w:t>where the object sits in the liquid – floating objects must sit wholly above the surface of the liquid</w:t>
      </w:r>
    </w:p>
    <w:p w14:paraId="4FC08908" w14:textId="77777777" w:rsidR="00E41D29" w:rsidRDefault="002316FE">
      <w:pPr>
        <w:numPr>
          <w:ilvl w:val="0"/>
          <w:numId w:val="5"/>
        </w:numPr>
      </w:pPr>
      <w:r>
        <w:t xml:space="preserve">similarities in weight – if two objects weigh the </w:t>
      </w:r>
      <w:proofErr w:type="gramStart"/>
      <w:r>
        <w:t>same</w:t>
      </w:r>
      <w:proofErr w:type="gramEnd"/>
      <w:r>
        <w:t xml:space="preserve"> they will both float or both sink.</w:t>
      </w:r>
    </w:p>
    <w:p w14:paraId="4FC08909" w14:textId="77777777" w:rsidR="00E41D29" w:rsidRDefault="00E41D29"/>
    <w:p w14:paraId="4FC0890A" w14:textId="77777777" w:rsidR="00E41D29" w:rsidRDefault="002316FE">
      <w:r>
        <w:t>Being aware of alternative conceptions helps educators identify them when they surface in discussions and provides an opportunity to scaffold change.</w:t>
      </w:r>
    </w:p>
    <w:p w14:paraId="4FC0890B" w14:textId="77777777" w:rsidR="00E41D29" w:rsidRDefault="00E41D29"/>
    <w:p w14:paraId="4FC0890C" w14:textId="77777777" w:rsidR="00E41D29" w:rsidRDefault="002316FE">
      <w:pPr>
        <w:rPr>
          <w:b/>
          <w:i/>
        </w:rPr>
      </w:pPr>
      <w:r>
        <w:rPr>
          <w:b/>
          <w:i/>
        </w:rPr>
        <w:t>What you need</w:t>
      </w:r>
    </w:p>
    <w:p w14:paraId="4FC0890D" w14:textId="77777777" w:rsidR="00E41D29" w:rsidRDefault="00E41D29"/>
    <w:p w14:paraId="4FC0890E" w14:textId="0C3C6BD0" w:rsidR="00E41D29" w:rsidRPr="007A2379" w:rsidRDefault="002316FE">
      <w:pPr>
        <w:numPr>
          <w:ilvl w:val="0"/>
          <w:numId w:val="7"/>
        </w:numPr>
      </w:pPr>
      <w:r>
        <w:t xml:space="preserve">Access to the online </w:t>
      </w:r>
      <w:hyperlink r:id="rId11" w:history="1">
        <w:r w:rsidRPr="007A2379">
          <w:rPr>
            <w:rStyle w:val="Hyperlink"/>
          </w:rPr>
          <w:t>Will this float or sink? – graphic organiser</w:t>
        </w:r>
      </w:hyperlink>
      <w:r w:rsidRPr="007A2379">
        <w:t xml:space="preserve"> or the paper-based</w:t>
      </w:r>
      <w:r w:rsidR="00136425" w:rsidRPr="007A2379">
        <w:t xml:space="preserve"> </w:t>
      </w:r>
      <w:hyperlink w:anchor="bookmark=id.26in1rg">
        <w:r w:rsidRPr="007A2379">
          <w:rPr>
            <w:rStyle w:val="Hyperlink"/>
          </w:rPr>
          <w:t>Will this float or sink? – images and graphic organiser</w:t>
        </w:r>
      </w:hyperlink>
    </w:p>
    <w:p w14:paraId="4FC0890F" w14:textId="77777777" w:rsidR="00E41D29" w:rsidRDefault="00E41D29"/>
    <w:p w14:paraId="4FC08910" w14:textId="77777777" w:rsidR="00E41D29" w:rsidRDefault="002316FE">
      <w:pPr>
        <w:rPr>
          <w:b/>
          <w:i/>
        </w:rPr>
      </w:pPr>
      <w:r>
        <w:rPr>
          <w:b/>
          <w:i/>
        </w:rPr>
        <w:t xml:space="preserve">Teaching suggestions </w:t>
      </w:r>
    </w:p>
    <w:p w14:paraId="4FC08911" w14:textId="77777777" w:rsidR="00E41D29" w:rsidRDefault="00E41D29"/>
    <w:p w14:paraId="4FC08912" w14:textId="77777777" w:rsidR="00E41D29" w:rsidRDefault="002316FE">
      <w:r>
        <w:t>Consider the developmental needs of your students when considering the following teaching suggestions.</w:t>
      </w:r>
    </w:p>
    <w:p w14:paraId="4FC08913" w14:textId="77777777" w:rsidR="00E41D29" w:rsidRDefault="00E41D29"/>
    <w:p w14:paraId="4FC08914" w14:textId="77777777" w:rsidR="00E41D29" w:rsidRDefault="002316FE">
      <w:pPr>
        <w:rPr>
          <w:b/>
          <w:i/>
        </w:rPr>
      </w:pPr>
      <w:r>
        <w:rPr>
          <w:b/>
          <w:i/>
        </w:rPr>
        <w:t>What to do</w:t>
      </w:r>
    </w:p>
    <w:p w14:paraId="4FC08915" w14:textId="77777777" w:rsidR="00E41D29" w:rsidRDefault="00E41D29"/>
    <w:p w14:paraId="4FC08916" w14:textId="77777777" w:rsidR="00E41D29" w:rsidRDefault="002316FE">
      <w:pPr>
        <w:numPr>
          <w:ilvl w:val="0"/>
          <w:numId w:val="3"/>
        </w:numPr>
      </w:pPr>
      <w:r>
        <w:t>Briefly discuss students’ experiences with floating and sinking. Use this as an opportunity to take note of students’ use of content vocabulary and possible alternative conceptions.</w:t>
      </w:r>
    </w:p>
    <w:p w14:paraId="4FC08917" w14:textId="77777777" w:rsidR="00E41D29" w:rsidRDefault="00E41D29"/>
    <w:p w14:paraId="4FC08918" w14:textId="77777777" w:rsidR="00E41D29" w:rsidRDefault="002316FE">
      <w:pPr>
        <w:numPr>
          <w:ilvl w:val="0"/>
          <w:numId w:val="3"/>
        </w:numPr>
      </w:pPr>
      <w:r>
        <w:t>Discuss the individual components of the interactive and how to operate them. (The card needs to show a blue background/border for it to be in one of the boxes.)</w:t>
      </w:r>
    </w:p>
    <w:p w14:paraId="4FC08919" w14:textId="77777777" w:rsidR="00E41D29" w:rsidRDefault="00E41D29"/>
    <w:p w14:paraId="4FC0891A" w14:textId="77777777" w:rsidR="00E41D29" w:rsidRDefault="002316FE">
      <w:pPr>
        <w:numPr>
          <w:ilvl w:val="0"/>
          <w:numId w:val="3"/>
        </w:numPr>
      </w:pPr>
      <w:r>
        <w:t>If required, read the titles of the boxes and the titles of the image cards.</w:t>
      </w:r>
    </w:p>
    <w:p w14:paraId="4FC0891B" w14:textId="77777777" w:rsidR="00E41D29" w:rsidRDefault="00E41D29"/>
    <w:p w14:paraId="4FC0891C" w14:textId="77777777" w:rsidR="00E41D29" w:rsidRDefault="002316FE">
      <w:pPr>
        <w:numPr>
          <w:ilvl w:val="0"/>
          <w:numId w:val="3"/>
        </w:numPr>
      </w:pPr>
      <w:r>
        <w:t>This can be a whole-class activity using a shared screen. Encourage students to come up and move the image cards to the appropriate box and to move an image card if they do not agree with its position. Students will need to justify their decisions.</w:t>
      </w:r>
    </w:p>
    <w:p w14:paraId="4FC0891D" w14:textId="77777777" w:rsidR="00E41D29" w:rsidRDefault="00E41D29"/>
    <w:p w14:paraId="4FC0891E" w14:textId="77777777" w:rsidR="00E41D29" w:rsidRDefault="002316FE">
      <w:pPr>
        <w:numPr>
          <w:ilvl w:val="0"/>
          <w:numId w:val="3"/>
        </w:numPr>
      </w:pPr>
      <w:r>
        <w:t>Alternatively, the interactive can be completed by individuals or in small groups.</w:t>
      </w:r>
    </w:p>
    <w:p w14:paraId="4FC0891F" w14:textId="77777777" w:rsidR="00E41D29" w:rsidRDefault="00E41D29"/>
    <w:p w14:paraId="4FC08920" w14:textId="77777777" w:rsidR="00E41D29" w:rsidRDefault="002316FE">
      <w:pPr>
        <w:numPr>
          <w:ilvl w:val="0"/>
          <w:numId w:val="3"/>
        </w:numPr>
      </w:pPr>
      <w:r>
        <w:t xml:space="preserve">If using the paper-based version, cut-up the </w:t>
      </w:r>
      <w:hyperlink w:anchor="bookmark=id.26in1rg">
        <w:r w:rsidRPr="007A2379">
          <w:rPr>
            <w:rStyle w:val="Hyperlink"/>
          </w:rPr>
          <w:t>images for classifying</w:t>
        </w:r>
      </w:hyperlink>
      <w:r w:rsidRPr="007A2379">
        <w:t xml:space="preserve"> and place them on the graphic organiser worksheet </w:t>
      </w:r>
      <w:hyperlink w:anchor="bookmark=id.lnxbz9">
        <w:r w:rsidRPr="007A2379">
          <w:rPr>
            <w:rStyle w:val="Hyperlink"/>
          </w:rPr>
          <w:t>Will this float or sink?</w:t>
        </w:r>
      </w:hyperlink>
    </w:p>
    <w:p w14:paraId="4FC08921" w14:textId="77777777" w:rsidR="00E41D29" w:rsidRDefault="00E41D29"/>
    <w:p w14:paraId="4FC08922" w14:textId="77777777" w:rsidR="00E41D29" w:rsidRDefault="002316FE">
      <w:pPr>
        <w:numPr>
          <w:ilvl w:val="0"/>
          <w:numId w:val="3"/>
        </w:numPr>
      </w:pPr>
      <w:r>
        <w:t>If using the paper-based version, discuss where students have placed the objects and their reasons for doing so.</w:t>
      </w:r>
    </w:p>
    <w:p w14:paraId="4FC08923" w14:textId="77777777" w:rsidR="00E41D29" w:rsidRDefault="00E41D29"/>
    <w:p w14:paraId="4FC08924" w14:textId="77777777" w:rsidR="00E41D29" w:rsidRDefault="002316FE">
      <w:pPr>
        <w:numPr>
          <w:ilvl w:val="0"/>
          <w:numId w:val="3"/>
        </w:numPr>
      </w:pPr>
      <w:r>
        <w:t>If appropriate, ask the students to create a list of characteristics of things that float and characteristics of things that sink. Note any content vocabulary or alternative conceptions that may need to be addressed.</w:t>
      </w:r>
    </w:p>
    <w:p w14:paraId="4FC08925" w14:textId="77777777" w:rsidR="00E41D29" w:rsidRDefault="00E41D29"/>
    <w:p w14:paraId="4FC08926" w14:textId="77777777" w:rsidR="00E41D29" w:rsidRDefault="002316FE">
      <w:pPr>
        <w:rPr>
          <w:b/>
          <w:i/>
        </w:rPr>
      </w:pPr>
      <w:r>
        <w:rPr>
          <w:b/>
          <w:i/>
        </w:rPr>
        <w:t>Extension idea</w:t>
      </w:r>
    </w:p>
    <w:p w14:paraId="4FC08927" w14:textId="77777777" w:rsidR="00E41D29" w:rsidRDefault="00E41D29"/>
    <w:p w14:paraId="4FC08928" w14:textId="77777777" w:rsidR="00E41D29" w:rsidRDefault="002316FE">
      <w:r>
        <w:t>After completing this activity, challenge students to create a hands-on version by collecting the objects and testing whether they float or sink in a container of water.</w:t>
      </w:r>
    </w:p>
    <w:p w14:paraId="4FC08929" w14:textId="77777777" w:rsidR="00E41D29" w:rsidRDefault="00E41D29"/>
    <w:p w14:paraId="4FC0892A" w14:textId="77777777" w:rsidR="00E41D29" w:rsidRDefault="002316FE">
      <w:pPr>
        <w:rPr>
          <w:b/>
          <w:i/>
        </w:rPr>
      </w:pPr>
      <w:r>
        <w:rPr>
          <w:b/>
          <w:i/>
        </w:rPr>
        <w:t>Answers</w:t>
      </w:r>
    </w:p>
    <w:p w14:paraId="4FC0892B" w14:textId="77777777" w:rsidR="00E41D29" w:rsidRDefault="00E41D29"/>
    <w:tbl>
      <w:tblPr>
        <w:tblStyle w:val="af6"/>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827"/>
        <w:gridCol w:w="3678"/>
      </w:tblGrid>
      <w:tr w:rsidR="00E41D29" w14:paraId="4FC0892F" w14:textId="77777777">
        <w:tc>
          <w:tcPr>
            <w:tcW w:w="2122" w:type="dxa"/>
            <w:shd w:val="clear" w:color="auto" w:fill="D9D9D9"/>
          </w:tcPr>
          <w:p w14:paraId="4FC0892C" w14:textId="77777777" w:rsidR="00E41D29" w:rsidRDefault="002316FE">
            <w:r>
              <w:rPr>
                <w:b/>
              </w:rPr>
              <w:t>Image</w:t>
            </w:r>
          </w:p>
        </w:tc>
        <w:tc>
          <w:tcPr>
            <w:tcW w:w="3827" w:type="dxa"/>
            <w:shd w:val="clear" w:color="auto" w:fill="D9D9D9"/>
          </w:tcPr>
          <w:p w14:paraId="4FC0892D" w14:textId="77777777" w:rsidR="00E41D29" w:rsidRDefault="002316FE">
            <w:r>
              <w:rPr>
                <w:b/>
              </w:rPr>
              <w:t>Floats</w:t>
            </w:r>
          </w:p>
        </w:tc>
        <w:tc>
          <w:tcPr>
            <w:tcW w:w="3678" w:type="dxa"/>
            <w:shd w:val="clear" w:color="auto" w:fill="D9D9D9"/>
          </w:tcPr>
          <w:p w14:paraId="4FC0892E" w14:textId="77777777" w:rsidR="00E41D29" w:rsidRDefault="002316FE">
            <w:r>
              <w:rPr>
                <w:b/>
              </w:rPr>
              <w:t>Sinks</w:t>
            </w:r>
          </w:p>
        </w:tc>
      </w:tr>
      <w:tr w:rsidR="00E41D29" w14:paraId="4FC08933" w14:textId="77777777">
        <w:tc>
          <w:tcPr>
            <w:tcW w:w="2122" w:type="dxa"/>
          </w:tcPr>
          <w:p w14:paraId="4FC08930" w14:textId="77777777" w:rsidR="00E41D29" w:rsidRDefault="002316FE">
            <w:r>
              <w:t>Pumice</w:t>
            </w:r>
          </w:p>
        </w:tc>
        <w:tc>
          <w:tcPr>
            <w:tcW w:w="3827" w:type="dxa"/>
          </w:tcPr>
          <w:p w14:paraId="4FC08931" w14:textId="77777777" w:rsidR="00E41D29" w:rsidRDefault="002316FE">
            <w:r>
              <w:t>Yes (initially)</w:t>
            </w:r>
          </w:p>
        </w:tc>
        <w:tc>
          <w:tcPr>
            <w:tcW w:w="3678" w:type="dxa"/>
          </w:tcPr>
          <w:p w14:paraId="4FC08932" w14:textId="77777777" w:rsidR="00E41D29" w:rsidRDefault="002316FE">
            <w:r>
              <w:t>Yes (with time when waterlogged)</w:t>
            </w:r>
          </w:p>
        </w:tc>
      </w:tr>
      <w:tr w:rsidR="00E41D29" w14:paraId="4FC08937" w14:textId="77777777">
        <w:tc>
          <w:tcPr>
            <w:tcW w:w="2122" w:type="dxa"/>
          </w:tcPr>
          <w:p w14:paraId="4FC08934" w14:textId="77777777" w:rsidR="00E41D29" w:rsidRDefault="002316FE">
            <w:r>
              <w:t>Rock</w:t>
            </w:r>
          </w:p>
        </w:tc>
        <w:tc>
          <w:tcPr>
            <w:tcW w:w="3827" w:type="dxa"/>
          </w:tcPr>
          <w:p w14:paraId="4FC08935" w14:textId="77777777" w:rsidR="00E41D29" w:rsidRDefault="002316FE">
            <w:r>
              <w:t>No</w:t>
            </w:r>
          </w:p>
        </w:tc>
        <w:tc>
          <w:tcPr>
            <w:tcW w:w="3678" w:type="dxa"/>
          </w:tcPr>
          <w:p w14:paraId="4FC08936" w14:textId="77777777" w:rsidR="00E41D29" w:rsidRDefault="002316FE">
            <w:r>
              <w:t>Yes</w:t>
            </w:r>
          </w:p>
        </w:tc>
      </w:tr>
      <w:tr w:rsidR="00E41D29" w14:paraId="4FC0893B" w14:textId="77777777">
        <w:tc>
          <w:tcPr>
            <w:tcW w:w="2122" w:type="dxa"/>
          </w:tcPr>
          <w:p w14:paraId="4FC08938" w14:textId="77777777" w:rsidR="00E41D29" w:rsidRDefault="002316FE">
            <w:r>
              <w:t>Ping pong ball</w:t>
            </w:r>
          </w:p>
        </w:tc>
        <w:tc>
          <w:tcPr>
            <w:tcW w:w="3827" w:type="dxa"/>
          </w:tcPr>
          <w:p w14:paraId="4FC08939" w14:textId="77777777" w:rsidR="00E41D29" w:rsidRDefault="002316FE">
            <w:r>
              <w:t>Yes</w:t>
            </w:r>
          </w:p>
        </w:tc>
        <w:tc>
          <w:tcPr>
            <w:tcW w:w="3678" w:type="dxa"/>
          </w:tcPr>
          <w:p w14:paraId="4FC0893A" w14:textId="77777777" w:rsidR="00E41D29" w:rsidRDefault="002316FE">
            <w:r>
              <w:t>No</w:t>
            </w:r>
          </w:p>
        </w:tc>
      </w:tr>
      <w:tr w:rsidR="00E41D29" w14:paraId="4FC0893F" w14:textId="77777777">
        <w:tc>
          <w:tcPr>
            <w:tcW w:w="2122" w:type="dxa"/>
          </w:tcPr>
          <w:p w14:paraId="4FC0893C" w14:textId="77777777" w:rsidR="00E41D29" w:rsidRDefault="002316FE">
            <w:r>
              <w:t>Golf ball</w:t>
            </w:r>
          </w:p>
        </w:tc>
        <w:tc>
          <w:tcPr>
            <w:tcW w:w="3827" w:type="dxa"/>
          </w:tcPr>
          <w:p w14:paraId="4FC0893D" w14:textId="77777777" w:rsidR="00E41D29" w:rsidRDefault="002316FE">
            <w:r>
              <w:t>No</w:t>
            </w:r>
          </w:p>
        </w:tc>
        <w:tc>
          <w:tcPr>
            <w:tcW w:w="3678" w:type="dxa"/>
          </w:tcPr>
          <w:p w14:paraId="4FC0893E" w14:textId="77777777" w:rsidR="00E41D29" w:rsidRDefault="002316FE">
            <w:r>
              <w:t>Yes</w:t>
            </w:r>
          </w:p>
        </w:tc>
      </w:tr>
      <w:tr w:rsidR="00E41D29" w14:paraId="4FC08943" w14:textId="77777777">
        <w:tc>
          <w:tcPr>
            <w:tcW w:w="2122" w:type="dxa"/>
          </w:tcPr>
          <w:p w14:paraId="4FC08940" w14:textId="77777777" w:rsidR="00E41D29" w:rsidRDefault="002316FE">
            <w:r>
              <w:t>Glass marble</w:t>
            </w:r>
          </w:p>
        </w:tc>
        <w:tc>
          <w:tcPr>
            <w:tcW w:w="3827" w:type="dxa"/>
          </w:tcPr>
          <w:p w14:paraId="4FC08941" w14:textId="77777777" w:rsidR="00E41D29" w:rsidRDefault="002316FE">
            <w:r>
              <w:t>No</w:t>
            </w:r>
          </w:p>
        </w:tc>
        <w:tc>
          <w:tcPr>
            <w:tcW w:w="3678" w:type="dxa"/>
          </w:tcPr>
          <w:p w14:paraId="4FC08942" w14:textId="77777777" w:rsidR="00E41D29" w:rsidRDefault="002316FE">
            <w:r>
              <w:t>Yes</w:t>
            </w:r>
          </w:p>
        </w:tc>
      </w:tr>
      <w:tr w:rsidR="00E41D29" w14:paraId="4FC08947" w14:textId="77777777">
        <w:tc>
          <w:tcPr>
            <w:tcW w:w="2122" w:type="dxa"/>
          </w:tcPr>
          <w:p w14:paraId="4FC08944" w14:textId="77777777" w:rsidR="00E41D29" w:rsidRDefault="002316FE">
            <w:r>
              <w:t>Paper ball</w:t>
            </w:r>
          </w:p>
        </w:tc>
        <w:tc>
          <w:tcPr>
            <w:tcW w:w="3827" w:type="dxa"/>
          </w:tcPr>
          <w:p w14:paraId="4FC08945" w14:textId="77777777" w:rsidR="00E41D29" w:rsidRDefault="002316FE">
            <w:r>
              <w:t>Yes (initially)</w:t>
            </w:r>
          </w:p>
        </w:tc>
        <w:tc>
          <w:tcPr>
            <w:tcW w:w="3678" w:type="dxa"/>
          </w:tcPr>
          <w:p w14:paraId="4FC08946" w14:textId="77777777" w:rsidR="00E41D29" w:rsidRDefault="002316FE">
            <w:r>
              <w:t>Yes (with time)</w:t>
            </w:r>
          </w:p>
        </w:tc>
      </w:tr>
      <w:tr w:rsidR="00E41D29" w14:paraId="4FC0894B" w14:textId="77777777">
        <w:tc>
          <w:tcPr>
            <w:tcW w:w="2122" w:type="dxa"/>
          </w:tcPr>
          <w:p w14:paraId="4FC08948" w14:textId="77777777" w:rsidR="00E41D29" w:rsidRDefault="002316FE">
            <w:r>
              <w:lastRenderedPageBreak/>
              <w:t>Metal spoon</w:t>
            </w:r>
          </w:p>
        </w:tc>
        <w:tc>
          <w:tcPr>
            <w:tcW w:w="3827" w:type="dxa"/>
          </w:tcPr>
          <w:p w14:paraId="4FC08949" w14:textId="77777777" w:rsidR="00E41D29" w:rsidRDefault="002316FE">
            <w:r>
              <w:t>No</w:t>
            </w:r>
          </w:p>
        </w:tc>
        <w:tc>
          <w:tcPr>
            <w:tcW w:w="3678" w:type="dxa"/>
          </w:tcPr>
          <w:p w14:paraId="4FC0894A" w14:textId="77777777" w:rsidR="00E41D29" w:rsidRDefault="002316FE">
            <w:r>
              <w:t>Yes</w:t>
            </w:r>
          </w:p>
        </w:tc>
      </w:tr>
      <w:tr w:rsidR="00E41D29" w14:paraId="4FC0894F" w14:textId="77777777">
        <w:tc>
          <w:tcPr>
            <w:tcW w:w="2122" w:type="dxa"/>
          </w:tcPr>
          <w:p w14:paraId="4FC0894C" w14:textId="77777777" w:rsidR="00E41D29" w:rsidRDefault="002316FE">
            <w:r>
              <w:t>Plastic spoon</w:t>
            </w:r>
          </w:p>
        </w:tc>
        <w:tc>
          <w:tcPr>
            <w:tcW w:w="3827" w:type="dxa"/>
          </w:tcPr>
          <w:p w14:paraId="4FC0894D" w14:textId="77777777" w:rsidR="00E41D29" w:rsidRDefault="002316FE">
            <w:r>
              <w:t>Yes</w:t>
            </w:r>
          </w:p>
        </w:tc>
        <w:tc>
          <w:tcPr>
            <w:tcW w:w="3678" w:type="dxa"/>
          </w:tcPr>
          <w:p w14:paraId="4FC0894E" w14:textId="77777777" w:rsidR="00E41D29" w:rsidRDefault="002316FE">
            <w:r>
              <w:t>No</w:t>
            </w:r>
          </w:p>
        </w:tc>
      </w:tr>
      <w:tr w:rsidR="00E41D29" w14:paraId="4FC08953" w14:textId="77777777">
        <w:tc>
          <w:tcPr>
            <w:tcW w:w="2122" w:type="dxa"/>
          </w:tcPr>
          <w:p w14:paraId="4FC08950" w14:textId="77777777" w:rsidR="00E41D29" w:rsidRDefault="002316FE">
            <w:r>
              <w:t>Toy car</w:t>
            </w:r>
          </w:p>
        </w:tc>
        <w:tc>
          <w:tcPr>
            <w:tcW w:w="3827" w:type="dxa"/>
          </w:tcPr>
          <w:p w14:paraId="4FC08951" w14:textId="77777777" w:rsidR="00E41D29" w:rsidRDefault="002316FE">
            <w:r>
              <w:t>Yes (depending on material)</w:t>
            </w:r>
          </w:p>
        </w:tc>
        <w:tc>
          <w:tcPr>
            <w:tcW w:w="3678" w:type="dxa"/>
          </w:tcPr>
          <w:p w14:paraId="4FC08952" w14:textId="77777777" w:rsidR="00E41D29" w:rsidRDefault="002316FE">
            <w:r>
              <w:t>Yes (depending on material)</w:t>
            </w:r>
          </w:p>
        </w:tc>
      </w:tr>
      <w:tr w:rsidR="00E41D29" w14:paraId="4FC08957" w14:textId="77777777">
        <w:tc>
          <w:tcPr>
            <w:tcW w:w="2122" w:type="dxa"/>
          </w:tcPr>
          <w:p w14:paraId="4FC08954" w14:textId="77777777" w:rsidR="00E41D29" w:rsidRDefault="002316FE">
            <w:r>
              <w:t>Ice cubes</w:t>
            </w:r>
          </w:p>
        </w:tc>
        <w:tc>
          <w:tcPr>
            <w:tcW w:w="3827" w:type="dxa"/>
          </w:tcPr>
          <w:p w14:paraId="4FC08955" w14:textId="77777777" w:rsidR="00E41D29" w:rsidRDefault="002316FE">
            <w:r>
              <w:t>Yes</w:t>
            </w:r>
          </w:p>
        </w:tc>
        <w:tc>
          <w:tcPr>
            <w:tcW w:w="3678" w:type="dxa"/>
          </w:tcPr>
          <w:p w14:paraId="4FC08956" w14:textId="77777777" w:rsidR="00E41D29" w:rsidRDefault="002316FE">
            <w:r>
              <w:t>No</w:t>
            </w:r>
          </w:p>
        </w:tc>
      </w:tr>
      <w:tr w:rsidR="00E41D29" w14:paraId="4FC0895B" w14:textId="77777777">
        <w:tc>
          <w:tcPr>
            <w:tcW w:w="2122" w:type="dxa"/>
          </w:tcPr>
          <w:p w14:paraId="4FC08958" w14:textId="77777777" w:rsidR="00E41D29" w:rsidRDefault="002316FE">
            <w:r>
              <w:t>Chalk</w:t>
            </w:r>
          </w:p>
        </w:tc>
        <w:tc>
          <w:tcPr>
            <w:tcW w:w="3827" w:type="dxa"/>
          </w:tcPr>
          <w:p w14:paraId="4FC08959" w14:textId="77777777" w:rsidR="00E41D29" w:rsidRDefault="002316FE">
            <w:r>
              <w:t>No</w:t>
            </w:r>
          </w:p>
        </w:tc>
        <w:tc>
          <w:tcPr>
            <w:tcW w:w="3678" w:type="dxa"/>
          </w:tcPr>
          <w:p w14:paraId="4FC0895A" w14:textId="77777777" w:rsidR="00E41D29" w:rsidRDefault="002316FE">
            <w:r>
              <w:t>Yes</w:t>
            </w:r>
          </w:p>
        </w:tc>
      </w:tr>
      <w:tr w:rsidR="00E41D29" w14:paraId="4FC0895F" w14:textId="77777777">
        <w:tc>
          <w:tcPr>
            <w:tcW w:w="2122" w:type="dxa"/>
          </w:tcPr>
          <w:p w14:paraId="4FC0895C" w14:textId="77777777" w:rsidR="00E41D29" w:rsidRDefault="002316FE">
            <w:r>
              <w:t>Modelling clay</w:t>
            </w:r>
          </w:p>
        </w:tc>
        <w:tc>
          <w:tcPr>
            <w:tcW w:w="3827" w:type="dxa"/>
          </w:tcPr>
          <w:p w14:paraId="4FC0895D" w14:textId="77777777" w:rsidR="00E41D29" w:rsidRDefault="002316FE">
            <w:r>
              <w:t>No</w:t>
            </w:r>
          </w:p>
        </w:tc>
        <w:tc>
          <w:tcPr>
            <w:tcW w:w="3678" w:type="dxa"/>
          </w:tcPr>
          <w:p w14:paraId="4FC0895E" w14:textId="77777777" w:rsidR="00E41D29" w:rsidRDefault="002316FE">
            <w:r>
              <w:t>Yes</w:t>
            </w:r>
          </w:p>
        </w:tc>
      </w:tr>
    </w:tbl>
    <w:p w14:paraId="4FC08960" w14:textId="77777777" w:rsidR="00E41D29" w:rsidRDefault="00E41D29">
      <w:pPr>
        <w:sectPr w:rsidR="00E41D29">
          <w:headerReference w:type="default" r:id="rId12"/>
          <w:footerReference w:type="default" r:id="rId13"/>
          <w:pgSz w:w="11907" w:h="16840"/>
          <w:pgMar w:top="1134" w:right="1134" w:bottom="1134" w:left="1134" w:header="465" w:footer="720" w:gutter="0"/>
          <w:pgNumType w:start="1"/>
          <w:cols w:space="720"/>
        </w:sectPr>
      </w:pPr>
    </w:p>
    <w:p w14:paraId="4FC08963" w14:textId="1B097579" w:rsidR="00E41D29" w:rsidRDefault="002316FE">
      <w:pPr>
        <w:rPr>
          <w:b/>
          <w:i/>
        </w:rPr>
      </w:pPr>
      <w:r>
        <w:rPr>
          <w:b/>
        </w:rPr>
        <w:lastRenderedPageBreak/>
        <w:t>For students</w:t>
      </w:r>
      <w:r w:rsidR="00007D53">
        <w:rPr>
          <w:b/>
        </w:rPr>
        <w:t xml:space="preserve"> </w:t>
      </w:r>
      <w:r w:rsidR="00893B11" w:rsidRPr="00893B11">
        <w:rPr>
          <w:b/>
        </w:rPr>
        <w:t>–</w:t>
      </w:r>
      <w:r w:rsidR="00893B11">
        <w:rPr>
          <w:b/>
        </w:rPr>
        <w:t xml:space="preserve"> </w:t>
      </w:r>
      <w:bookmarkStart w:id="3" w:name="bookmark=id.26in1rg" w:colFirst="0" w:colLast="0"/>
      <w:bookmarkEnd w:id="3"/>
      <w:r>
        <w:rPr>
          <w:b/>
          <w:i/>
        </w:rPr>
        <w:t>Images for classifying</w:t>
      </w:r>
      <w:r w:rsidR="00007D53">
        <w:rPr>
          <w:b/>
          <w:i/>
          <w:noProof/>
        </w:rPr>
        <w:drawing>
          <wp:inline distT="0" distB="0" distL="0" distR="0" wp14:anchorId="26313E6A" wp14:editId="4A342713">
            <wp:extent cx="7943850" cy="5538974"/>
            <wp:effectExtent l="0" t="0" r="0" b="5080"/>
            <wp:docPr id="1" name="Picture 1" descr="Logo,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alendar&#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62028" cy="5551649"/>
                    </a:xfrm>
                    <a:prstGeom prst="rect">
                      <a:avLst/>
                    </a:prstGeom>
                  </pic:spPr>
                </pic:pic>
              </a:graphicData>
            </a:graphic>
          </wp:inline>
        </w:drawing>
      </w:r>
    </w:p>
    <w:p w14:paraId="4FC08964" w14:textId="3AED76A0" w:rsidR="00E41D29" w:rsidRDefault="00E41D29" w:rsidP="007A2379">
      <w:pPr>
        <w:jc w:val="center"/>
        <w:rPr>
          <w:b/>
          <w:i/>
        </w:rPr>
      </w:pPr>
    </w:p>
    <w:p w14:paraId="7113798C" w14:textId="54EC505D" w:rsidR="00007D53" w:rsidRDefault="00007D53">
      <w:pPr>
        <w:rPr>
          <w:b/>
        </w:rPr>
      </w:pPr>
      <w:bookmarkStart w:id="4" w:name="bookmark=id.lnxbz9" w:colFirst="0" w:colLast="0"/>
      <w:bookmarkEnd w:id="4"/>
    </w:p>
    <w:p w14:paraId="4FC08966" w14:textId="730DBCDE" w:rsidR="00E41D29" w:rsidRPr="00893B11" w:rsidRDefault="002316FE">
      <w:pPr>
        <w:rPr>
          <w:b/>
          <w:sz w:val="24"/>
          <w:szCs w:val="24"/>
        </w:rPr>
      </w:pPr>
      <w:r w:rsidRPr="00893B11">
        <w:rPr>
          <w:b/>
          <w:sz w:val="24"/>
          <w:szCs w:val="24"/>
        </w:rPr>
        <w:t>Will this float or sink?</w:t>
      </w:r>
    </w:p>
    <w:p w14:paraId="4FC08967" w14:textId="77777777" w:rsidR="00E41D29" w:rsidRDefault="00E41D29">
      <w:pPr>
        <w:rPr>
          <w:b/>
        </w:rPr>
      </w:pPr>
    </w:p>
    <w:p w14:paraId="6E0A78E9" w14:textId="77777777" w:rsidR="002316FE" w:rsidRDefault="002316FE">
      <w:pPr>
        <w:rPr>
          <w:b/>
        </w:rPr>
      </w:pPr>
    </w:p>
    <w:p w14:paraId="4FC08968" w14:textId="77777777" w:rsidR="00E41D29" w:rsidRDefault="002316FE" w:rsidP="007A2379">
      <w:pPr>
        <w:jc w:val="center"/>
        <w:rPr>
          <w:b/>
        </w:rPr>
      </w:pPr>
      <w:r>
        <w:rPr>
          <w:noProof/>
        </w:rPr>
        <w:drawing>
          <wp:inline distT="114300" distB="114300" distL="114300" distR="114300" wp14:anchorId="4FC0896B" wp14:editId="4FC0896C">
            <wp:extent cx="9251820" cy="4622800"/>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9251820" cy="4622800"/>
                    </a:xfrm>
                    <a:prstGeom prst="rect">
                      <a:avLst/>
                    </a:prstGeom>
                    <a:ln/>
                  </pic:spPr>
                </pic:pic>
              </a:graphicData>
            </a:graphic>
          </wp:inline>
        </w:drawing>
      </w:r>
    </w:p>
    <w:sectPr w:rsidR="00E41D29">
      <w:footerReference w:type="default" r:id="rId16"/>
      <w:pgSz w:w="16840" w:h="11907" w:orient="landscape"/>
      <w:pgMar w:top="1134" w:right="1134" w:bottom="1134" w:left="1134" w:header="465"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0897C" w14:textId="77777777" w:rsidR="004A6F5E" w:rsidRDefault="002316FE">
      <w:r>
        <w:separator/>
      </w:r>
    </w:p>
  </w:endnote>
  <w:endnote w:type="continuationSeparator" w:id="0">
    <w:p w14:paraId="4FC0897E" w14:textId="77777777" w:rsidR="004A6F5E" w:rsidRDefault="00231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CB472" w14:textId="77777777" w:rsidR="00930A34" w:rsidRDefault="00930A34" w:rsidP="00930A34">
    <w:pP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r>
      <w:rPr>
        <w:color w:val="3366FF"/>
        <w:sz w:val="18"/>
        <w:szCs w:val="18"/>
      </w:rPr>
      <w:t xml:space="preserve"> </w:t>
    </w:r>
  </w:p>
  <w:bookmarkStart w:id="2" w:name="_heading=h.35nkun2" w:colFirst="0" w:colLast="0"/>
  <w:bookmarkEnd w:id="2"/>
  <w:p w14:paraId="207209CE" w14:textId="3E16F816" w:rsidR="007A2379" w:rsidRPr="00930A34" w:rsidRDefault="00930A34" w:rsidP="00930A34">
    <w:pPr>
      <w:tabs>
        <w:tab w:val="center" w:pos="4320"/>
        <w:tab w:val="right" w:pos="8640"/>
      </w:tabs>
      <w:ind w:right="360"/>
      <w:rPr>
        <w:color w:val="3366FF"/>
      </w:rPr>
    </w:pPr>
    <w:r>
      <w:fldChar w:fldCharType="begin"/>
    </w:r>
    <w:r>
      <w:instrText xml:space="preserve"> HYPERLINK "http://www.sciencelearn.org.nz" \h </w:instrText>
    </w:r>
    <w:r>
      <w:fldChar w:fldCharType="separate"/>
    </w:r>
    <w:r>
      <w:rPr>
        <w:color w:val="0000FF"/>
        <w:sz w:val="18"/>
        <w:szCs w:val="18"/>
        <w:u w:val="single"/>
      </w:rPr>
      <w:t>www.sciencelearn.org.nz</w:t>
    </w:r>
    <w:r>
      <w:rPr>
        <w:color w:val="0000FF"/>
        <w:sz w:val="18"/>
        <w:szCs w:val="18"/>
        <w:u w:val="singl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08976" w14:textId="29CF6320" w:rsidR="00E41D29" w:rsidRDefault="002316FE">
    <w:pP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sidR="00AC0AAD">
      <w:rPr>
        <w:noProof/>
        <w:sz w:val="18"/>
        <w:szCs w:val="18"/>
      </w:rPr>
      <w:t>4</w:t>
    </w:r>
    <w:r>
      <w:rPr>
        <w:sz w:val="18"/>
        <w:szCs w:val="18"/>
      </w:rPr>
      <w:fldChar w:fldCharType="end"/>
    </w:r>
    <w:r>
      <w:rPr>
        <w:color w:val="3366FF"/>
        <w:sz w:val="18"/>
        <w:szCs w:val="18"/>
      </w:rPr>
      <w:t xml:space="preserve"> </w:t>
    </w:r>
  </w:p>
  <w:p w14:paraId="4FC08977" w14:textId="77777777" w:rsidR="00E41D29" w:rsidRDefault="0005355B">
    <w:pPr>
      <w:tabs>
        <w:tab w:val="center" w:pos="4320"/>
        <w:tab w:val="right" w:pos="8640"/>
      </w:tabs>
      <w:ind w:right="360"/>
      <w:rPr>
        <w:color w:val="3366FF"/>
      </w:rPr>
    </w:pPr>
    <w:hyperlink r:id="rId1">
      <w:r w:rsidR="002316FE">
        <w:rPr>
          <w:color w:val="0000FF"/>
          <w:sz w:val="18"/>
          <w:szCs w:val="18"/>
          <w:u w:val="single"/>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08978" w14:textId="77777777" w:rsidR="004A6F5E" w:rsidRDefault="002316FE">
      <w:r>
        <w:separator/>
      </w:r>
    </w:p>
  </w:footnote>
  <w:footnote w:type="continuationSeparator" w:id="0">
    <w:p w14:paraId="4FC0897A" w14:textId="77777777" w:rsidR="004A6F5E" w:rsidRDefault="002316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08971" w14:textId="77777777" w:rsidR="00E41D29" w:rsidRDefault="002316FE">
    <w:pPr>
      <w:spacing w:line="276" w:lineRule="auto"/>
    </w:pPr>
    <w:r>
      <w:rPr>
        <w:noProof/>
      </w:rPr>
      <w:drawing>
        <wp:anchor distT="0" distB="0" distL="114300" distR="114300" simplePos="0" relativeHeight="251658240" behindDoc="0" locked="0" layoutInCell="1" hidden="0" allowOverlap="1" wp14:anchorId="4FC08978" wp14:editId="4FC08979">
          <wp:simplePos x="0" y="0"/>
          <wp:positionH relativeFrom="column">
            <wp:posOffset>-142873</wp:posOffset>
          </wp:positionH>
          <wp:positionV relativeFrom="paragraph">
            <wp:posOffset>-19048</wp:posOffset>
          </wp:positionV>
          <wp:extent cx="1378038" cy="587693"/>
          <wp:effectExtent l="0" t="0" r="0" b="0"/>
          <wp:wrapNone/>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bl>
    <w:tblPr>
      <w:tblStyle w:val="af7"/>
      <w:tblW w:w="9634" w:type="dxa"/>
      <w:tblInd w:w="5" w:type="dxa"/>
      <w:tblLayout w:type="fixed"/>
      <w:tblLook w:val="0400" w:firstRow="0" w:lastRow="0" w:firstColumn="0" w:lastColumn="0" w:noHBand="0" w:noVBand="1"/>
    </w:tblPr>
    <w:tblGrid>
      <w:gridCol w:w="1980"/>
      <w:gridCol w:w="7654"/>
    </w:tblGrid>
    <w:tr w:rsidR="00E41D29" w14:paraId="4FC08974" w14:textId="77777777" w:rsidTr="00CA3D67">
      <w:tc>
        <w:tcPr>
          <w:tcW w:w="1980" w:type="dxa"/>
          <w:shd w:val="clear" w:color="auto" w:fill="auto"/>
        </w:tcPr>
        <w:p w14:paraId="4FC08972" w14:textId="77777777" w:rsidR="00E41D29" w:rsidRDefault="00E41D29">
          <w:pPr>
            <w:tabs>
              <w:tab w:val="center" w:pos="4513"/>
              <w:tab w:val="right" w:pos="9026"/>
            </w:tabs>
            <w:rPr>
              <w:color w:val="3366FF"/>
            </w:rPr>
          </w:pPr>
        </w:p>
      </w:tc>
      <w:tc>
        <w:tcPr>
          <w:tcW w:w="7654" w:type="dxa"/>
          <w:shd w:val="clear" w:color="auto" w:fill="auto"/>
          <w:vAlign w:val="center"/>
        </w:tcPr>
        <w:p w14:paraId="4FC08973" w14:textId="77777777" w:rsidR="00E41D29" w:rsidRDefault="002316FE">
          <w:pPr>
            <w:rPr>
              <w:color w:val="3366FF"/>
            </w:rPr>
          </w:pPr>
          <w:r>
            <w:rPr>
              <w:color w:val="3366FF"/>
            </w:rPr>
            <w:t xml:space="preserve">Activity: Will this float or sink? </w:t>
          </w:r>
        </w:p>
      </w:tc>
    </w:tr>
  </w:tbl>
  <w:p w14:paraId="4FC08975" w14:textId="77777777" w:rsidR="00E41D29" w:rsidRDefault="00E41D29">
    <w:pPr>
      <w:spacing w:before="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4975"/>
    <w:multiLevelType w:val="multilevel"/>
    <w:tmpl w:val="9128511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E045890"/>
    <w:multiLevelType w:val="multilevel"/>
    <w:tmpl w:val="A6523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A1712C"/>
    <w:multiLevelType w:val="multilevel"/>
    <w:tmpl w:val="FFA60E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1C32B74"/>
    <w:multiLevelType w:val="multilevel"/>
    <w:tmpl w:val="7FE86E9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13083B36"/>
    <w:multiLevelType w:val="multilevel"/>
    <w:tmpl w:val="A46C3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FF4AFE"/>
    <w:multiLevelType w:val="multilevel"/>
    <w:tmpl w:val="5F104E10"/>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6" w15:restartNumberingAfterBreak="0">
    <w:nsid w:val="23412305"/>
    <w:multiLevelType w:val="multilevel"/>
    <w:tmpl w:val="6B40FE9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236D51ED"/>
    <w:multiLevelType w:val="multilevel"/>
    <w:tmpl w:val="6C821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4A203F"/>
    <w:multiLevelType w:val="multilevel"/>
    <w:tmpl w:val="6D48E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1B48B1"/>
    <w:multiLevelType w:val="multilevel"/>
    <w:tmpl w:val="FA6A3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826073F"/>
    <w:multiLevelType w:val="multilevel"/>
    <w:tmpl w:val="730AC6F0"/>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1" w15:restartNumberingAfterBreak="0">
    <w:nsid w:val="2C546053"/>
    <w:multiLevelType w:val="multilevel"/>
    <w:tmpl w:val="2ADC839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30AB53BA"/>
    <w:multiLevelType w:val="multilevel"/>
    <w:tmpl w:val="79726F5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3D3B30FF"/>
    <w:multiLevelType w:val="multilevel"/>
    <w:tmpl w:val="D8D4C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A944D8C"/>
    <w:multiLevelType w:val="multilevel"/>
    <w:tmpl w:val="988A6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3F0CDE"/>
    <w:multiLevelType w:val="multilevel"/>
    <w:tmpl w:val="B7388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DCD4BF1"/>
    <w:multiLevelType w:val="multilevel"/>
    <w:tmpl w:val="32A8E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3F1557E"/>
    <w:multiLevelType w:val="multilevel"/>
    <w:tmpl w:val="2E84F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CB7953"/>
    <w:multiLevelType w:val="multilevel"/>
    <w:tmpl w:val="916C7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4F25CF4"/>
    <w:multiLevelType w:val="multilevel"/>
    <w:tmpl w:val="89AAC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97E6231"/>
    <w:multiLevelType w:val="multilevel"/>
    <w:tmpl w:val="6FC2C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05A6A85"/>
    <w:multiLevelType w:val="multilevel"/>
    <w:tmpl w:val="57A47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17902C3"/>
    <w:multiLevelType w:val="multilevel"/>
    <w:tmpl w:val="65029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3414FFB"/>
    <w:multiLevelType w:val="multilevel"/>
    <w:tmpl w:val="0778C07C"/>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4" w15:restartNumberingAfterBreak="0">
    <w:nsid w:val="7A0C6357"/>
    <w:multiLevelType w:val="multilevel"/>
    <w:tmpl w:val="BA6C3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EE73FE6"/>
    <w:multiLevelType w:val="multilevel"/>
    <w:tmpl w:val="4768D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5485128">
    <w:abstractNumId w:val="9"/>
  </w:num>
  <w:num w:numId="2" w16cid:durableId="434978254">
    <w:abstractNumId w:val="6"/>
  </w:num>
  <w:num w:numId="3" w16cid:durableId="1029449203">
    <w:abstractNumId w:val="2"/>
  </w:num>
  <w:num w:numId="4" w16cid:durableId="1743941284">
    <w:abstractNumId w:val="8"/>
  </w:num>
  <w:num w:numId="5" w16cid:durableId="1409379880">
    <w:abstractNumId w:val="3"/>
  </w:num>
  <w:num w:numId="6" w16cid:durableId="700597057">
    <w:abstractNumId w:val="11"/>
  </w:num>
  <w:num w:numId="7" w16cid:durableId="1729063597">
    <w:abstractNumId w:val="23"/>
  </w:num>
  <w:num w:numId="8" w16cid:durableId="881936775">
    <w:abstractNumId w:val="10"/>
  </w:num>
  <w:num w:numId="9" w16cid:durableId="1281692061">
    <w:abstractNumId w:val="12"/>
  </w:num>
  <w:num w:numId="10" w16cid:durableId="1945188205">
    <w:abstractNumId w:val="25"/>
  </w:num>
  <w:num w:numId="11" w16cid:durableId="822821311">
    <w:abstractNumId w:val="13"/>
  </w:num>
  <w:num w:numId="12" w16cid:durableId="1498301898">
    <w:abstractNumId w:val="7"/>
  </w:num>
  <w:num w:numId="13" w16cid:durableId="872425965">
    <w:abstractNumId w:val="0"/>
  </w:num>
  <w:num w:numId="14" w16cid:durableId="2042633124">
    <w:abstractNumId w:val="5"/>
  </w:num>
  <w:num w:numId="15" w16cid:durableId="1329791530">
    <w:abstractNumId w:val="19"/>
  </w:num>
  <w:num w:numId="16" w16cid:durableId="1412846387">
    <w:abstractNumId w:val="22"/>
  </w:num>
  <w:num w:numId="17" w16cid:durableId="889150151">
    <w:abstractNumId w:val="4"/>
  </w:num>
  <w:num w:numId="18" w16cid:durableId="2009095337">
    <w:abstractNumId w:val="24"/>
  </w:num>
  <w:num w:numId="19" w16cid:durableId="168065155">
    <w:abstractNumId w:val="1"/>
  </w:num>
  <w:num w:numId="20" w16cid:durableId="613486072">
    <w:abstractNumId w:val="16"/>
  </w:num>
  <w:num w:numId="21" w16cid:durableId="318002405">
    <w:abstractNumId w:val="14"/>
  </w:num>
  <w:num w:numId="22" w16cid:durableId="1541942034">
    <w:abstractNumId w:val="17"/>
  </w:num>
  <w:num w:numId="23" w16cid:durableId="389039210">
    <w:abstractNumId w:val="15"/>
  </w:num>
  <w:num w:numId="24" w16cid:durableId="1078333961">
    <w:abstractNumId w:val="18"/>
  </w:num>
  <w:num w:numId="25" w16cid:durableId="243074146">
    <w:abstractNumId w:val="20"/>
  </w:num>
  <w:num w:numId="26" w16cid:durableId="2140528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D29"/>
    <w:rsid w:val="00007D53"/>
    <w:rsid w:val="0005355B"/>
    <w:rsid w:val="00136425"/>
    <w:rsid w:val="002316FE"/>
    <w:rsid w:val="004A6F5E"/>
    <w:rsid w:val="00662BF5"/>
    <w:rsid w:val="0070277E"/>
    <w:rsid w:val="007A2379"/>
    <w:rsid w:val="00893B11"/>
    <w:rsid w:val="008F4AD2"/>
    <w:rsid w:val="00930A34"/>
    <w:rsid w:val="00AC0AAD"/>
    <w:rsid w:val="00C76CCF"/>
    <w:rsid w:val="00CA3D67"/>
    <w:rsid w:val="00D215EE"/>
    <w:rsid w:val="00E41D2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C08784"/>
  <w15:docId w15:val="{A9DE5998-85A4-4460-B0D0-C40D60A27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N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uiPriority w:val="9"/>
    <w:unhideWhenUsed/>
    <w:qFormat/>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28" w:type="dxa"/>
        <w:right w:w="28"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17" w:type="dxa"/>
        <w:right w:w="17"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17" w:type="dxa"/>
        <w:right w:w="17"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7" w:type="dxa"/>
        <w:right w:w="1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0" w:type="dxa"/>
        <w:right w:w="115"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F2F1B"/>
    <w:pPr>
      <w:tabs>
        <w:tab w:val="center" w:pos="4513"/>
        <w:tab w:val="right" w:pos="9026"/>
      </w:tabs>
    </w:pPr>
  </w:style>
  <w:style w:type="character" w:customStyle="1" w:styleId="HeaderChar">
    <w:name w:val="Header Char"/>
    <w:basedOn w:val="DefaultParagraphFont"/>
    <w:link w:val="Header"/>
    <w:uiPriority w:val="99"/>
    <w:rsid w:val="008F2F1B"/>
  </w:style>
  <w:style w:type="paragraph" w:styleId="Footer">
    <w:name w:val="footer"/>
    <w:basedOn w:val="Normal"/>
    <w:link w:val="FooterChar"/>
    <w:uiPriority w:val="99"/>
    <w:unhideWhenUsed/>
    <w:rsid w:val="008F2F1B"/>
    <w:pPr>
      <w:tabs>
        <w:tab w:val="center" w:pos="4513"/>
        <w:tab w:val="right" w:pos="9026"/>
      </w:tabs>
    </w:pPr>
  </w:style>
  <w:style w:type="character" w:customStyle="1" w:styleId="FooterChar">
    <w:name w:val="Footer Char"/>
    <w:basedOn w:val="DefaultParagraphFont"/>
    <w:link w:val="Footer"/>
    <w:uiPriority w:val="99"/>
    <w:rsid w:val="008F2F1B"/>
  </w:style>
  <w:style w:type="paragraph" w:styleId="Revision">
    <w:name w:val="Revision"/>
    <w:hidden/>
    <w:uiPriority w:val="99"/>
    <w:semiHidden/>
    <w:rsid w:val="008F2F1B"/>
    <w:pPr>
      <w:widowControl/>
    </w:pPr>
  </w:style>
  <w:style w:type="paragraph" w:styleId="CommentSubject">
    <w:name w:val="annotation subject"/>
    <w:basedOn w:val="CommentText"/>
    <w:next w:val="CommentText"/>
    <w:link w:val="CommentSubjectChar"/>
    <w:uiPriority w:val="99"/>
    <w:semiHidden/>
    <w:unhideWhenUsed/>
    <w:rsid w:val="00AE24B6"/>
    <w:rPr>
      <w:b/>
      <w:bCs/>
    </w:rPr>
  </w:style>
  <w:style w:type="character" w:customStyle="1" w:styleId="CommentSubjectChar">
    <w:name w:val="Comment Subject Char"/>
    <w:basedOn w:val="CommentTextChar"/>
    <w:link w:val="CommentSubject"/>
    <w:uiPriority w:val="99"/>
    <w:semiHidden/>
    <w:rsid w:val="00AE24B6"/>
    <w:rPr>
      <w:b/>
      <w:bCs/>
    </w:rPr>
  </w:style>
  <w:style w:type="table" w:styleId="TableGrid">
    <w:name w:val="Table Grid"/>
    <w:basedOn w:val="TableNormal"/>
    <w:uiPriority w:val="39"/>
    <w:rsid w:val="00DE3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
    <w:basedOn w:val="TableNormal"/>
    <w:tblPr>
      <w:tblStyleRowBandSize w:val="1"/>
      <w:tblStyleColBandSize w:val="1"/>
      <w:tblCellMar>
        <w:top w:w="100" w:type="dxa"/>
        <w:left w:w="0" w:type="dxa"/>
        <w:bottom w:w="100" w:type="dxa"/>
        <w:right w:w="115" w:type="dxa"/>
      </w:tblCellMar>
    </w:tblPr>
  </w:style>
  <w:style w:type="table" w:customStyle="1" w:styleId="ad">
    <w:basedOn w:val="TableNormal"/>
    <w:tblPr>
      <w:tblStyleRowBandSize w:val="1"/>
      <w:tblStyleColBandSize w:val="1"/>
      <w:tblCellMar>
        <w:top w:w="100" w:type="dxa"/>
        <w:left w:w="0" w:type="dxa"/>
        <w:bottom w:w="100" w:type="dxa"/>
        <w:right w:w="115" w:type="dxa"/>
      </w:tblCellMar>
    </w:tblPr>
  </w:style>
  <w:style w:type="table" w:customStyle="1" w:styleId="ae">
    <w:basedOn w:val="TableNormal"/>
    <w:tblPr>
      <w:tblStyleRowBandSize w:val="1"/>
      <w:tblStyleColBandSize w:val="1"/>
      <w:tblCellMar>
        <w:top w:w="100" w:type="dxa"/>
        <w:left w:w="0" w:type="dxa"/>
        <w:bottom w:w="100" w:type="dxa"/>
        <w:right w:w="115" w:type="dxa"/>
      </w:tblCellMar>
    </w:tblPr>
  </w:style>
  <w:style w:type="table" w:customStyle="1" w:styleId="af">
    <w:basedOn w:val="TableNormal"/>
    <w:tblPr>
      <w:tblStyleRowBandSize w:val="1"/>
      <w:tblStyleColBandSize w:val="1"/>
      <w:tblCellMar>
        <w:top w:w="100" w:type="dxa"/>
        <w:left w:w="0" w:type="dxa"/>
        <w:bottom w:w="100" w:type="dxa"/>
        <w:right w:w="115" w:type="dxa"/>
      </w:tblCellMar>
    </w:tblPr>
  </w:style>
  <w:style w:type="table" w:customStyle="1" w:styleId="af0">
    <w:basedOn w:val="TableNormal"/>
    <w:tblPr>
      <w:tblStyleRowBandSize w:val="1"/>
      <w:tblStyleColBandSize w:val="1"/>
      <w:tblCellMar>
        <w:top w:w="100" w:type="dxa"/>
        <w:left w:w="0" w:type="dxa"/>
        <w:bottom w:w="100" w:type="dxa"/>
        <w:right w:w="115" w:type="dxa"/>
      </w:tblCellMar>
    </w:tblPr>
  </w:style>
  <w:style w:type="table" w:customStyle="1" w:styleId="af1">
    <w:basedOn w:val="TableNormal"/>
    <w:tblPr>
      <w:tblStyleRowBandSize w:val="1"/>
      <w:tblStyleColBandSize w:val="1"/>
      <w:tblCellMar>
        <w:top w:w="100" w:type="dxa"/>
        <w:left w:w="0" w:type="dxa"/>
        <w:bottom w:w="100" w:type="dxa"/>
        <w:right w:w="115" w:type="dxa"/>
      </w:tblCellMar>
    </w:tblPr>
  </w:style>
  <w:style w:type="table" w:customStyle="1" w:styleId="af2">
    <w:basedOn w:val="TableNormal"/>
    <w:tblPr>
      <w:tblStyleRowBandSize w:val="1"/>
      <w:tblStyleColBandSize w:val="1"/>
      <w:tblCellMar>
        <w:top w:w="100" w:type="dxa"/>
        <w:left w:w="0" w:type="dxa"/>
        <w:bottom w:w="100" w:type="dxa"/>
        <w:right w:w="115" w:type="dxa"/>
      </w:tblCellMar>
    </w:tblPr>
  </w:style>
  <w:style w:type="table" w:customStyle="1" w:styleId="af3">
    <w:basedOn w:val="TableNormal"/>
    <w:tblPr>
      <w:tblStyleRowBandSize w:val="1"/>
      <w:tblStyleColBandSize w:val="1"/>
      <w:tblCellMar>
        <w:top w:w="100" w:type="dxa"/>
        <w:left w:w="0" w:type="dxa"/>
        <w:bottom w:w="100" w:type="dxa"/>
        <w:right w:w="115" w:type="dxa"/>
      </w:tblCellMar>
    </w:tblPr>
  </w:style>
  <w:style w:type="table" w:customStyle="1" w:styleId="af4">
    <w:basedOn w:val="TableNormal"/>
    <w:tblPr>
      <w:tblStyleRowBandSize w:val="1"/>
      <w:tblStyleColBandSize w:val="1"/>
      <w:tblCellMar>
        <w:top w:w="100" w:type="dxa"/>
        <w:left w:w="0" w:type="dxa"/>
        <w:bottom w:w="100" w:type="dxa"/>
        <w:right w:w="115" w:type="dxa"/>
      </w:tblCellMar>
    </w:tblPr>
  </w:style>
  <w:style w:type="table" w:customStyle="1" w:styleId="af5">
    <w:basedOn w:val="TableNormal"/>
    <w:tblPr>
      <w:tblStyleRowBandSize w:val="1"/>
      <w:tblStyleColBandSize w:val="1"/>
      <w:tblCellMar>
        <w:top w:w="100" w:type="dxa"/>
        <w:left w:w="0" w:type="dxa"/>
        <w:bottom w:w="100" w:type="dxa"/>
        <w:right w:w="115" w:type="dxa"/>
      </w:tblCellMar>
    </w:tblPr>
  </w:style>
  <w:style w:type="table" w:customStyle="1" w:styleId="af6">
    <w:basedOn w:val="TableNormal"/>
    <w:tblPr>
      <w:tblStyleRowBandSize w:val="1"/>
      <w:tblStyleColBandSize w:val="1"/>
      <w:tblCellMar>
        <w:top w:w="100" w:type="dxa"/>
        <w:left w:w="0" w:type="dxa"/>
        <w:bottom w:w="100" w:type="dxa"/>
        <w:right w:w="115" w:type="dxa"/>
      </w:tblCellMar>
    </w:tblPr>
  </w:style>
  <w:style w:type="table" w:customStyle="1" w:styleId="af7">
    <w:basedOn w:val="TableNormal"/>
    <w:tblPr>
      <w:tblStyleRowBandSize w:val="1"/>
      <w:tblStyleColBandSize w:val="1"/>
      <w:tblCellMar>
        <w:top w:w="100" w:type="dxa"/>
        <w:left w:w="0" w:type="dxa"/>
        <w:bottom w:w="100" w:type="dxa"/>
        <w:right w:w="115" w:type="dxa"/>
      </w:tblCellMar>
    </w:tblPr>
  </w:style>
  <w:style w:type="character" w:styleId="Hyperlink">
    <w:name w:val="Hyperlink"/>
    <w:basedOn w:val="DefaultParagraphFont"/>
    <w:uiPriority w:val="99"/>
    <w:unhideWhenUsed/>
    <w:rsid w:val="00D215EE"/>
    <w:rPr>
      <w:color w:val="0000FF" w:themeColor="hyperlink"/>
      <w:u w:val="single"/>
    </w:rPr>
  </w:style>
  <w:style w:type="character" w:styleId="UnresolvedMention">
    <w:name w:val="Unresolved Mention"/>
    <w:basedOn w:val="DefaultParagraphFont"/>
    <w:uiPriority w:val="99"/>
    <w:semiHidden/>
    <w:unhideWhenUsed/>
    <w:rsid w:val="00D215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3181-building-science-concepts-floating-and-sinkin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learn.org.nz/drag_and_drops/20-will-this-float-or-sink-graphic-organiser"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sciencelearn.org.nz/resources/3183-floating-and-sinking-exploring-forces" TargetMode="External"/><Relationship Id="rId4" Type="http://schemas.openxmlformats.org/officeDocument/2006/relationships/settings" Target="settings.xml"/><Relationship Id="rId9" Type="http://schemas.openxmlformats.org/officeDocument/2006/relationships/hyperlink" Target="https://www.sciencelearn.org.nz/resources/3184-investigating-floating-and-sinking" TargetMode="External"/><Relationship Id="rId14"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yLb3Wl24uo9XnFO3HUgIYSy5A==">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874</Words>
  <Characters>4982</Characters>
  <Application>Microsoft Office Word</Application>
  <DocSecurity>0</DocSecurity>
  <Lines>41</Lines>
  <Paragraphs>11</Paragraphs>
  <ScaleCrop>false</ScaleCrop>
  <Company/>
  <LinksUpToDate>false</LinksUpToDate>
  <CharactersWithSpaces>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Will this float or sink</dc:title>
  <dc:creator>Science Learning Hub – Pokapū Akoranga Pūtaiao, The University of Waikato</dc:creator>
  <cp:lastModifiedBy>Vanya Bootham</cp:lastModifiedBy>
  <cp:revision>2</cp:revision>
  <dcterms:created xsi:type="dcterms:W3CDTF">2022-10-10T22:38:00Z</dcterms:created>
  <dcterms:modified xsi:type="dcterms:W3CDTF">2022-10-10T22:38:00Z</dcterms:modified>
</cp:coreProperties>
</file>