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488" w:rsidP="48E54D5F" w:rsidRDefault="003449EB" w14:paraId="3F4930F4" w14:textId="412C07B8">
      <w:pPr>
        <w:jc w:val="center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48E54D5F" w:rsidR="003449EB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Suggested </w:t>
      </w:r>
      <w:r w:rsidRPr="48E54D5F" w:rsidR="5DF11E8C">
        <w:rPr>
          <w:rFonts w:ascii="Verdana" w:hAnsi="Verdana" w:eastAsia="Verdana" w:cs="Verdana"/>
          <w:b w:val="1"/>
          <w:bCs w:val="1"/>
          <w:sz w:val="28"/>
          <w:szCs w:val="28"/>
        </w:rPr>
        <w:t>r</w:t>
      </w:r>
      <w:r w:rsidRPr="48E54D5F" w:rsidR="003449EB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eadings for </w:t>
      </w:r>
    </w:p>
    <w:p w:rsidR="00ED1488" w:rsidP="48E54D5F" w:rsidRDefault="003449EB" w14:paraId="472AF450" w14:textId="28944998">
      <w:pPr>
        <w:jc w:val="center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48E54D5F" w:rsidR="003449EB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Taking a knowledge </w:t>
      </w:r>
      <w:r w:rsidRPr="48E54D5F" w:rsidR="003449EB">
        <w:rPr>
          <w:rFonts w:ascii="Verdana" w:hAnsi="Verdana" w:eastAsia="Verdana" w:cs="Verdana"/>
          <w:b w:val="1"/>
          <w:bCs w:val="1"/>
          <w:sz w:val="28"/>
          <w:szCs w:val="28"/>
        </w:rPr>
        <w:t>systems</w:t>
      </w:r>
      <w:r w:rsidRPr="48E54D5F" w:rsidR="003449EB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 </w:t>
      </w:r>
      <w:r w:rsidRPr="48E54D5F" w:rsidR="003449EB">
        <w:rPr>
          <w:rFonts w:ascii="Verdana" w:hAnsi="Verdana" w:eastAsia="Verdana" w:cs="Verdana"/>
          <w:b w:val="1"/>
          <w:bCs w:val="1"/>
          <w:sz w:val="28"/>
          <w:szCs w:val="28"/>
        </w:rPr>
        <w:t>approach in the classroom</w:t>
      </w:r>
      <w:r w:rsidRPr="48E54D5F" w:rsidR="003449EB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 </w:t>
      </w:r>
    </w:p>
    <w:p w:rsidR="005C05EF" w:rsidP="48E54D5F" w:rsidRDefault="00ED1488" w14:paraId="355535AF" w14:textId="11F5067C" w14:noSpellErr="1">
      <w:pPr>
        <w:jc w:val="center"/>
        <w:rPr>
          <w:rFonts w:ascii="Verdana" w:hAnsi="Verdana" w:eastAsia="Verdana" w:cs="Verdana"/>
          <w:b w:val="0"/>
          <w:bCs w:val="0"/>
          <w:sz w:val="24"/>
          <w:szCs w:val="24"/>
        </w:rPr>
      </w:pPr>
      <w:r w:rsidRPr="48E54D5F" w:rsidR="00ED1488">
        <w:rPr>
          <w:rFonts w:ascii="Verdana" w:hAnsi="Verdana" w:eastAsia="Verdana" w:cs="Verdana"/>
          <w:b w:val="0"/>
          <w:bCs w:val="0"/>
          <w:sz w:val="24"/>
          <w:szCs w:val="24"/>
        </w:rPr>
        <w:t>Collated by</w:t>
      </w:r>
      <w:r w:rsidRPr="48E54D5F" w:rsidR="003449EB">
        <w:rPr>
          <w:rFonts w:ascii="Verdana" w:hAnsi="Verdana" w:eastAsia="Verdana" w:cs="Verdana"/>
          <w:b w:val="0"/>
          <w:bCs w:val="0"/>
          <w:sz w:val="24"/>
          <w:szCs w:val="24"/>
        </w:rPr>
        <w:t xml:space="preserve"> Lian Soh</w:t>
      </w:r>
    </w:p>
    <w:p w:rsidR="48E54D5F" w:rsidP="48E54D5F" w:rsidRDefault="48E54D5F" w14:paraId="48BDADD0" w14:textId="337F12D9">
      <w:pPr>
        <w:pStyle w:val="Heading2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2"/>
          <w:szCs w:val="22"/>
          <w:lang w:val="en-NZ"/>
        </w:rPr>
      </w:pPr>
    </w:p>
    <w:p w:rsidR="48E54D5F" w:rsidP="48E54D5F" w:rsidRDefault="48E54D5F" w14:paraId="103CE3C2" w14:textId="48253B93">
      <w:pPr>
        <w:pStyle w:val="Normal"/>
        <w:rPr>
          <w:lang w:val="en-NZ"/>
        </w:rPr>
      </w:pPr>
    </w:p>
    <w:p w:rsidRPr="003449EB" w:rsidR="003449EB" w:rsidP="48E54D5F" w:rsidRDefault="003449EB" w14:paraId="58F8D30A" w14:textId="27BD469F">
      <w:pPr>
        <w:pStyle w:val="Heading2"/>
        <w:rPr>
          <w:rFonts w:ascii="Verdana" w:hAnsi="Verdana" w:eastAsia="Verdana" w:cs="Verdana"/>
          <w:b w:val="0"/>
          <w:bCs w:val="0"/>
          <w:sz w:val="28"/>
          <w:szCs w:val="28"/>
          <w:lang w:val="en-NZ"/>
        </w:rPr>
      </w:pPr>
      <w:r w:rsidRPr="48E54D5F" w:rsidR="003449EB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8"/>
          <w:szCs w:val="28"/>
          <w:lang w:val="en-NZ"/>
        </w:rPr>
        <w:t>David Perkins</w:t>
      </w:r>
    </w:p>
    <w:p w:rsidRPr="003449EB" w:rsidR="003449EB" w:rsidP="48E54D5F" w:rsidRDefault="003449EB" w14:paraId="5CC4FA40" w14:textId="77777777">
      <w:pPr>
        <w:pStyle w:val="Heading2"/>
        <w:numPr>
          <w:ilvl w:val="0"/>
          <w:numId w:val="6"/>
        </w:numPr>
        <w:rPr>
          <w:rFonts w:ascii="Verdana" w:hAnsi="Verdana" w:eastAsia="Verdana" w:cs="Verdana"/>
          <w:color w:val="000000" w:themeColor="text1"/>
          <w:sz w:val="22"/>
          <w:szCs w:val="22"/>
          <w:lang w:val="en-NZ"/>
        </w:rPr>
      </w:pP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 xml:space="preserve">Perkins, D. (2014).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Future wise: Educating our children for a changing world</w:t>
      </w: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>. San Francisco, CA: Jossey-Bass.</w:t>
      </w:r>
    </w:p>
    <w:p w:rsidRPr="003449EB" w:rsidR="003449EB" w:rsidP="48E54D5F" w:rsidRDefault="003449EB" w14:paraId="0BC15E5E" w14:textId="06EF0769">
      <w:pPr>
        <w:pStyle w:val="Heading2"/>
        <w:numPr>
          <w:ilvl w:val="0"/>
          <w:numId w:val="6"/>
        </w:numPr>
        <w:rPr>
          <w:rFonts w:ascii="Verdana" w:hAnsi="Verdana" w:eastAsia="Verdana" w:cs="Verdana"/>
          <w:sz w:val="22"/>
          <w:szCs w:val="22"/>
          <w:lang w:val="en-NZ"/>
        </w:rPr>
      </w:pP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 xml:space="preserve">Perkins, D. (2009).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Making learning whole: How seven principles of teaching can transform education</w:t>
      </w: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 xml:space="preserve">. San Francisco, CA: Jossey-Bass. </w:t>
      </w:r>
    </w:p>
    <w:p w:rsidRPr="003449EB" w:rsidR="003449EB" w:rsidP="48E54D5F" w:rsidRDefault="003449EB" w14:paraId="144DEBF5" w14:textId="098408F4">
      <w:pPr>
        <w:pStyle w:val="Heading2"/>
        <w:rPr>
          <w:rFonts w:ascii="Verdana" w:hAnsi="Verdana" w:eastAsia="Verdana" w:cs="Verdana"/>
          <w:sz w:val="22"/>
          <w:szCs w:val="22"/>
          <w:lang w:val="en-NZ"/>
        </w:rPr>
      </w:pPr>
      <w:r>
        <w:br/>
      </w:r>
      <w:r w:rsidRPr="48E54D5F" w:rsidR="003449EB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8"/>
          <w:szCs w:val="28"/>
          <w:lang w:val="en-NZ"/>
        </w:rPr>
        <w:t>Science education in the Anthropocene</w:t>
      </w:r>
    </w:p>
    <w:p w:rsidRPr="003449EB" w:rsidR="003449EB" w:rsidP="48E54D5F" w:rsidRDefault="003449EB" w14:paraId="0C61C523" w14:textId="77777777">
      <w:pPr>
        <w:pStyle w:val="ListParagraph"/>
        <w:numPr>
          <w:ilvl w:val="0"/>
          <w:numId w:val="9"/>
        </w:numPr>
        <w:rPr>
          <w:rFonts w:ascii="Verdana" w:hAnsi="Verdana" w:eastAsia="Verdana" w:cs="Verdana"/>
          <w:color w:val="000000" w:themeColor="text1" w:themeTint="FF" w:themeShade="FF"/>
          <w:sz w:val="20"/>
          <w:szCs w:val="20"/>
          <w:lang w:val="en-NZ"/>
        </w:rPr>
      </w:pPr>
      <w:r w:rsidRPr="48E54D5F" w:rsidR="003449EB">
        <w:rPr>
          <w:rFonts w:ascii="Verdana" w:hAnsi="Verdana" w:eastAsia="Verdana" w:cs="Verdana"/>
          <w:sz w:val="22"/>
          <w:szCs w:val="22"/>
          <w:lang w:val="en-NZ"/>
        </w:rPr>
        <w:t xml:space="preserve">White, P. et al. (2023), “Agency in the Anthropocene: Supporting document to the PISA 2025 Science Framework”, </w:t>
      </w:r>
      <w:r w:rsidRPr="48E54D5F" w:rsidR="003449EB">
        <w:rPr>
          <w:rFonts w:ascii="Verdana" w:hAnsi="Verdana" w:eastAsia="Verdana" w:cs="Verdana"/>
          <w:i w:val="1"/>
          <w:iCs w:val="1"/>
          <w:sz w:val="22"/>
          <w:szCs w:val="22"/>
          <w:lang w:val="en-NZ"/>
        </w:rPr>
        <w:t>OECD Education Working Papers</w:t>
      </w:r>
      <w:r w:rsidRPr="48E54D5F" w:rsidR="003449EB">
        <w:rPr>
          <w:rFonts w:ascii="Verdana" w:hAnsi="Verdana" w:eastAsia="Verdana" w:cs="Verdana"/>
          <w:sz w:val="22"/>
          <w:szCs w:val="22"/>
          <w:lang w:val="en-NZ"/>
        </w:rPr>
        <w:t xml:space="preserve">, No. 297, OECD Publishing, Paris, </w:t>
      </w:r>
      <w:hyperlink r:id="R9ef5658c90514b68">
        <w:r w:rsidRPr="48E54D5F" w:rsidR="003449EB">
          <w:rPr>
            <w:rStyle w:val="Hyperlink"/>
            <w:rFonts w:ascii="Verdana" w:hAnsi="Verdana" w:eastAsia="Verdana" w:cs="Verdana"/>
            <w:sz w:val="22"/>
            <w:szCs w:val="22"/>
            <w:lang w:val="en-NZ"/>
          </w:rPr>
          <w:t>https://doi.org/10.1787/8d3b6cfa-en</w:t>
        </w:r>
      </w:hyperlink>
      <w:r w:rsidRPr="48E54D5F" w:rsidR="003449EB">
        <w:rPr>
          <w:rFonts w:ascii="Verdana" w:hAnsi="Verdana" w:eastAsia="Verdana" w:cs="Verdana"/>
          <w:sz w:val="22"/>
          <w:szCs w:val="22"/>
          <w:lang w:val="en-NZ"/>
        </w:rPr>
        <w:t>.</w:t>
      </w:r>
    </w:p>
    <w:p w:rsidRPr="003449EB" w:rsidR="003449EB" w:rsidP="48E54D5F" w:rsidRDefault="003449EB" w14:paraId="7E2C8FC9" w14:textId="5D1849BD">
      <w:pPr>
        <w:pStyle w:val="ListParagraph"/>
        <w:numPr>
          <w:ilvl w:val="0"/>
          <w:numId w:val="9"/>
        </w:numPr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</w:pPr>
      <w:r w:rsidRPr="48E54D5F" w:rsidR="003449EB">
        <w:rPr>
          <w:rFonts w:ascii="Verdana" w:hAnsi="Verdana" w:eastAsia="Verdana" w:cs="Verdana"/>
          <w:sz w:val="22"/>
          <w:szCs w:val="22"/>
          <w:lang w:val="en-NZ"/>
        </w:rPr>
        <w:t xml:space="preserve">Organisation for Economic Co-operation and Development (OECD). (2025). </w:t>
      </w:r>
      <w:r w:rsidRPr="48E54D5F" w:rsidR="003449EB">
        <w:rPr>
          <w:rFonts w:ascii="Verdana" w:hAnsi="Verdana" w:eastAsia="Verdana" w:cs="Verdana"/>
          <w:i w:val="1"/>
          <w:iCs w:val="1"/>
          <w:sz w:val="22"/>
          <w:szCs w:val="22"/>
          <w:lang w:val="en-NZ"/>
        </w:rPr>
        <w:t>PISA 2025 Science Framework</w:t>
      </w:r>
      <w:r w:rsidRPr="48E54D5F" w:rsidR="003449EB">
        <w:rPr>
          <w:rFonts w:ascii="Verdana" w:hAnsi="Verdana" w:eastAsia="Verdana" w:cs="Verdana"/>
          <w:sz w:val="22"/>
          <w:szCs w:val="22"/>
          <w:lang w:val="en-NZ"/>
        </w:rPr>
        <w:t xml:space="preserve">. OECD Publishing. </w:t>
      </w:r>
      <w:hyperlink r:id="R20023fe4a85f4470">
        <w:r w:rsidRPr="48E54D5F" w:rsidR="003449EB">
          <w:rPr>
            <w:rStyle w:val="Hyperlink"/>
            <w:rFonts w:ascii="Verdana" w:hAnsi="Verdana" w:eastAsia="Verdana" w:cs="Verdana"/>
            <w:sz w:val="22"/>
            <w:szCs w:val="22"/>
            <w:lang w:val="en-NZ"/>
          </w:rPr>
          <w:t>https://pisa-framework.oecd.org/science-2025/</w:t>
        </w:r>
      </w:hyperlink>
      <w:r w:rsidRPr="48E54D5F" w:rsidR="3FC9A129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>.</w:t>
      </w:r>
    </w:p>
    <w:p w:rsidR="48E54D5F" w:rsidP="48E54D5F" w:rsidRDefault="48E54D5F" w14:paraId="109C0A9A" w14:textId="74257754">
      <w:pPr>
        <w:pStyle w:val="Normal"/>
        <w:rPr>
          <w:rFonts w:ascii="Verdana" w:hAnsi="Verdana" w:eastAsia="Verdana" w:cs="Verdana"/>
          <w:color w:val="000000" w:themeColor="text1" w:themeTint="FF" w:themeShade="FF"/>
          <w:sz w:val="20"/>
          <w:szCs w:val="20"/>
          <w:lang w:val="en-NZ"/>
        </w:rPr>
      </w:pPr>
    </w:p>
    <w:p w:rsidRPr="003449EB" w:rsidR="003449EB" w:rsidP="48E54D5F" w:rsidRDefault="003449EB" w14:paraId="0E95173F" w14:textId="6371CEB3">
      <w:pPr>
        <w:pStyle w:val="Heading2"/>
        <w:rPr>
          <w:rFonts w:ascii="Verdana" w:hAnsi="Verdana" w:eastAsia="Verdana" w:cs="Verdana"/>
          <w:b w:val="0"/>
          <w:bCs w:val="0"/>
          <w:sz w:val="28"/>
          <w:szCs w:val="28"/>
          <w:lang w:val="en-NZ"/>
        </w:rPr>
      </w:pPr>
      <w:r w:rsidRPr="48E54D5F" w:rsidR="003449EB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8"/>
          <w:szCs w:val="28"/>
          <w:lang w:val="en-NZ"/>
        </w:rPr>
        <w:t>Mātauranga</w:t>
      </w:r>
      <w:r w:rsidRPr="48E54D5F" w:rsidR="003449EB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8"/>
          <w:szCs w:val="28"/>
          <w:lang w:val="en-NZ"/>
        </w:rPr>
        <w:t xml:space="preserve"> Māori</w:t>
      </w:r>
      <w:commentRangeStart w:id="709178580"/>
      <w:r w:rsidRPr="48E54D5F" w:rsidR="003449EB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8"/>
          <w:szCs w:val="28"/>
          <w:lang w:val="en-NZ"/>
        </w:rPr>
        <w:t xml:space="preserve"> / </w:t>
      </w:r>
      <w:commentRangeEnd w:id="709178580"/>
      <w:r>
        <w:rPr>
          <w:rStyle w:val="CommentReference"/>
        </w:rPr>
        <w:commentReference w:id="709178580"/>
      </w:r>
      <w:r w:rsidRPr="48E54D5F" w:rsidR="003449EB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8"/>
          <w:szCs w:val="28"/>
          <w:lang w:val="en-NZ"/>
        </w:rPr>
        <w:t>Māori Education</w:t>
      </w:r>
    </w:p>
    <w:p w:rsidRPr="003449EB" w:rsidR="003449EB" w:rsidP="48E54D5F" w:rsidRDefault="003449EB" w14:paraId="08A97DDE" w14:textId="69838499">
      <w:pPr>
        <w:pStyle w:val="Heading2"/>
        <w:numPr>
          <w:ilvl w:val="0"/>
          <w:numId w:val="8"/>
        </w:numPr>
        <w:rPr>
          <w:rFonts w:ascii="Verdana" w:hAnsi="Verdana" w:eastAsia="Verdana" w:cs="Verdana"/>
          <w:color w:val="000000" w:themeColor="text1"/>
          <w:sz w:val="22"/>
          <w:szCs w:val="22"/>
          <w:lang w:val="en-NZ"/>
        </w:rPr>
      </w:pP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 xml:space="preserve">Elkington. B, Jackson. M, Kiddle. R, Mercier. O, Ross. M, Smeaton. </w:t>
      </w: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>J, Thomas</w:t>
      </w: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 xml:space="preserve">. A (2020).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Imagining decolonisation</w:t>
      </w: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>. Bridget Williams Books.</w:t>
      </w:r>
    </w:p>
    <w:p w:rsidRPr="003449EB" w:rsidR="003449EB" w:rsidP="48E54D5F" w:rsidRDefault="003449EB" w14:paraId="694E670B" w14:textId="77777777">
      <w:pPr>
        <w:pStyle w:val="Heading2"/>
        <w:numPr>
          <w:ilvl w:val="0"/>
          <w:numId w:val="8"/>
        </w:numPr>
        <w:rPr>
          <w:rFonts w:ascii="Verdana" w:hAnsi="Verdana" w:eastAsia="Verdana" w:cs="Verdana"/>
          <w:color w:val="000000" w:themeColor="text1"/>
          <w:sz w:val="22"/>
          <w:szCs w:val="22"/>
          <w:lang w:val="en-NZ"/>
        </w:rPr>
      </w:pP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>Amoamo</w:t>
      </w: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 xml:space="preserve">. M, Kawharu. M, Katharina. (2023).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 xml:space="preserve">He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pou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 xml:space="preserve">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hiringa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 xml:space="preserve">: Grounding science and technology in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te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 xml:space="preserve">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ao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 xml:space="preserve"> Māori</w:t>
      </w: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>. Bridget Williams Books.</w:t>
      </w:r>
    </w:p>
    <w:p w:rsidRPr="003449EB" w:rsidR="003449EB" w:rsidP="48E54D5F" w:rsidRDefault="003449EB" w14:paraId="7FD3F014" w14:textId="77777777">
      <w:pPr>
        <w:pStyle w:val="Heading2"/>
        <w:numPr>
          <w:ilvl w:val="0"/>
          <w:numId w:val="8"/>
        </w:numPr>
        <w:rPr>
          <w:rFonts w:ascii="Verdana" w:hAnsi="Verdana" w:eastAsia="Verdana" w:cs="Verdana"/>
          <w:color w:val="000000" w:themeColor="text1"/>
          <w:sz w:val="22"/>
          <w:szCs w:val="22"/>
          <w:lang w:val="en-NZ"/>
        </w:rPr>
      </w:pP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 xml:space="preserve">Mead, H. M. (2003).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Tikanga Māori: Living by Māori values</w:t>
      </w: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>. Wellington, New Zealand: Huia Publishers.</w:t>
      </w:r>
    </w:p>
    <w:p w:rsidRPr="003449EB" w:rsidR="003449EB" w:rsidP="48E54D5F" w:rsidRDefault="003449EB" w14:paraId="00AE1C5E" w14:textId="77777777">
      <w:pPr>
        <w:pStyle w:val="Heading2"/>
        <w:numPr>
          <w:ilvl w:val="0"/>
          <w:numId w:val="8"/>
        </w:numPr>
        <w:rPr>
          <w:rFonts w:ascii="Verdana" w:hAnsi="Verdana" w:eastAsia="Verdana" w:cs="Verdana"/>
          <w:color w:val="000000" w:themeColor="text1"/>
          <w:sz w:val="22"/>
          <w:szCs w:val="22"/>
          <w:lang w:val="en-NZ"/>
        </w:rPr>
      </w:pP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 xml:space="preserve">Hetaraka, M. (2024).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Te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 xml:space="preserve">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kauae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 xml:space="preserve">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tuku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 xml:space="preserve"> 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>iho</w:t>
      </w:r>
      <w:r w:rsidRPr="48E54D5F" w:rsidR="003449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  <w:lang w:val="en-NZ"/>
        </w:rPr>
        <w:t xml:space="preserve"> | Inheriting the sacred jawbone: Indigenous knowledge holders re-imagine education</w:t>
      </w:r>
      <w:r w:rsidRPr="48E54D5F" w:rsidR="003449EB">
        <w:rPr>
          <w:rFonts w:ascii="Verdana" w:hAnsi="Verdana" w:eastAsia="Verdana" w:cs="Verdana"/>
          <w:color w:val="000000" w:themeColor="text1" w:themeTint="FF" w:themeShade="FF"/>
          <w:sz w:val="22"/>
          <w:szCs w:val="22"/>
          <w:lang w:val="en-NZ"/>
        </w:rPr>
        <w:t>. NZCER Press. </w:t>
      </w:r>
    </w:p>
    <w:p w:rsidR="003449EB" w:rsidP="48E54D5F" w:rsidRDefault="003449EB" w14:paraId="540BEB7D" w14:textId="77777777">
      <w:pPr>
        <w:rPr>
          <w:rFonts w:ascii="Verdana" w:hAnsi="Verdana" w:eastAsia="Verdana" w:cs="Verdana"/>
          <w:sz w:val="22"/>
          <w:szCs w:val="22"/>
          <w:lang w:val="en-NZ"/>
        </w:rPr>
      </w:pPr>
    </w:p>
    <w:sectPr w:rsidR="003449EB" w:rsidSect="005C05EF">
      <w:headerReference w:type="default" r:id="rId12"/>
      <w:footerReference w:type="default" r:id="rId13"/>
      <w:pgSz w:w="11907" w:h="16840" w:orient="portrait"/>
      <w:pgMar w:top="1134" w:right="1134" w:bottom="1134" w:left="1134" w:header="465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VB" w:author="Vanya Bootham" w:date="2025-02-26T11:57:42" w:id="709178580">
    <w:p xmlns:w14="http://schemas.microsoft.com/office/word/2010/wordml" xmlns:w="http://schemas.openxmlformats.org/wordprocessingml/2006/main" w:rsidR="535B3CBD" w:rsidRDefault="13B7C797" w14:paraId="4996E679" w14:textId="07D8648F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"mailto:greta.dromgool@waikato.ac.nz"</w:instrText>
      </w:r>
      <w:bookmarkStart w:name="_@_657217A1341E48A3A0C7E9D6270A7239Z" w:id="1610186130"/>
      <w:r>
        <w:fldChar w:fldCharType="separate"/>
      </w:r>
      <w:bookmarkEnd w:id="1610186130"/>
      <w:r w:rsidRPr="160FF501" w:rsidR="4B5C0C05">
        <w:rPr>
          <w:rStyle w:val="Mention"/>
          <w:noProof/>
        </w:rPr>
        <w:t>@Greta Dromgool</w:t>
      </w:r>
      <w:r>
        <w:fldChar w:fldCharType="end"/>
      </w:r>
      <w:r w:rsidRPr="46269C37" w:rsidR="1EB5E928">
        <w:t xml:space="preserve">  FYI We wouldn't usually have spaces around a slash, but, along with the font being larger than our standard etc., I think it all actually makes it more readable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996E67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56F081" w16cex:dateUtc="2025-02-25T22:57:42.91Z">
    <w16cex:extLst>
      <w16:ext w16:uri="{CE6994B0-6A32-4C9F-8C6B-6E91EDA988CE}">
        <cr:reactions xmlns:cr="http://schemas.microsoft.com/office/comments/2020/reactions">
          <cr:reaction reactionType="1">
            <cr:reactionInfo dateUtc="2025-02-25T23:11:50.18Z">
              <cr:user userId="S::greta.dromgool@waikato.ac.nz::85ae8209-1ebf-40c2-9da0-11c0158c46aa" userProvider="AD" userName="Greta Dromgoo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996E679" w16cid:durableId="5F56F0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029C" w:rsidP="005C05EF" w:rsidRDefault="0067029C" w14:paraId="3CCE0F6F" w14:textId="77777777">
      <w:r>
        <w:separator/>
      </w:r>
    </w:p>
  </w:endnote>
  <w:endnote w:type="continuationSeparator" w:id="0">
    <w:p w:rsidR="0067029C" w:rsidP="005C05EF" w:rsidRDefault="0067029C" w14:paraId="664741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33432" w:rsidR="005C05EF" w:rsidRDefault="005C05EF" w14:paraId="6CEB2B24" w14:textId="77777777">
    <w:pPr>
      <w:tabs>
        <w:tab w:val="center" w:pos="4320"/>
        <w:tab w:val="right" w:pos="8640"/>
      </w:tabs>
      <w:rPr>
        <w:color w:val="3366FF"/>
        <w:sz w:val="4"/>
        <w:szCs w:val="4"/>
      </w:rPr>
    </w:pPr>
  </w:p>
  <w:p w:rsidR="005C05EF" w:rsidRDefault="005C05EF" w14:paraId="14E2FDFD" w14:textId="77777777">
    <w:pP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 w:rsidRPr="00875B12">
      <w:rPr>
        <w:color w:val="2B579A"/>
        <w:sz w:val="18"/>
        <w:szCs w:val="18"/>
      </w:rPr>
      <w:fldChar w:fldCharType="begin"/>
    </w:r>
    <w:r w:rsidRPr="00875B12">
      <w:rPr>
        <w:sz w:val="18"/>
        <w:szCs w:val="18"/>
      </w:rPr>
      <w:instrText>PAGE</w:instrText>
    </w:r>
    <w:r w:rsidRPr="00875B12">
      <w:rPr>
        <w:color w:val="2B579A"/>
        <w:sz w:val="18"/>
        <w:szCs w:val="18"/>
      </w:rPr>
      <w:fldChar w:fldCharType="separate"/>
    </w:r>
    <w:r w:rsidRPr="00875B12">
      <w:rPr>
        <w:noProof/>
        <w:sz w:val="18"/>
        <w:szCs w:val="18"/>
      </w:rPr>
      <w:t>1</w:t>
    </w:r>
    <w:r w:rsidRPr="00875B12">
      <w:rPr>
        <w:color w:val="2B579A"/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name="_2et92p0" w:colFirst="0" w:colLast="0" w:id="0"/>
  <w:bookmarkEnd w:id="0"/>
  <w:p w:rsidR="005C05EF" w:rsidRDefault="005C05EF" w14:paraId="63369AC4" w14:textId="77777777">
    <w:pPr>
      <w:tabs>
        <w:tab w:val="center" w:pos="4320"/>
        <w:tab w:val="right" w:pos="8640"/>
      </w:tabs>
      <w:ind w:right="360"/>
      <w:rPr>
        <w:color w:val="3366FF"/>
      </w:rPr>
    </w:pPr>
    <w:r>
      <w:rPr>
        <w:color w:val="2B579A"/>
        <w:shd w:val="clear" w:color="auto" w:fill="E6E6E6"/>
      </w:rPr>
      <w:fldChar w:fldCharType="begin"/>
    </w:r>
    <w:r>
      <w:instrText>HYPERLINK "http://www.sciencelearn.org.nz" \h</w:instrText>
    </w:r>
    <w:r>
      <w:rPr>
        <w:color w:val="2B579A"/>
        <w:shd w:val="clear" w:color="auto" w:fill="E6E6E6"/>
      </w:rPr>
    </w:r>
    <w:r>
      <w:rPr>
        <w:color w:val="2B579A"/>
        <w:shd w:val="clear" w:color="auto" w:fill="E6E6E6"/>
      </w:rPr>
      <w:fldChar w:fldCharType="separate"/>
    </w:r>
    <w:r w:rsidR="48E54D5F"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029C" w:rsidP="005C05EF" w:rsidRDefault="0067029C" w14:paraId="49AADBD6" w14:textId="77777777">
      <w:r>
        <w:separator/>
      </w:r>
    </w:p>
  </w:footnote>
  <w:footnote w:type="continuationSeparator" w:id="0">
    <w:p w:rsidR="0067029C" w:rsidP="005C05EF" w:rsidRDefault="0067029C" w14:paraId="0317C6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400"/>
      <w:gridCol w:w="7234"/>
    </w:tblGrid>
    <w:tr w:rsidRPr="00251C18" w:rsidR="00C759F4" w:rsidTr="48E54D5F" w14:paraId="0EAC328C" w14:textId="77777777">
      <w:tc>
        <w:tcPr>
          <w:tcW w:w="2400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  <w:shd w:val="clear" w:color="auto" w:fill="auto"/>
          <w:tcMar/>
        </w:tcPr>
        <w:p w:rsidRPr="00251C18" w:rsidR="005C05EF" w:rsidP="00C759F4" w:rsidRDefault="005C05EF" w14:paraId="039ABC75" w14:textId="77777777">
          <w:pPr>
            <w:pStyle w:val="Header"/>
            <w:rPr>
              <w:rFonts w:cs="Arial"/>
              <w:color w:val="3366FF"/>
            </w:rPr>
          </w:pPr>
          <w:r>
            <w:rPr>
              <w:rFonts w:cs="Arial"/>
              <w:noProof/>
              <w:color w:val="3366FF"/>
            </w:rPr>
            <w:drawing>
              <wp:anchor distT="0" distB="0" distL="114300" distR="114300" simplePos="0" relativeHeight="251659264" behindDoc="0" locked="0" layoutInCell="1" allowOverlap="1" wp14:anchorId="5A88A9DD" wp14:editId="76615080">
                <wp:simplePos x="0" y="0"/>
                <wp:positionH relativeFrom="column">
                  <wp:posOffset>37465</wp:posOffset>
                </wp:positionH>
                <wp:positionV relativeFrom="paragraph">
                  <wp:posOffset>-27940</wp:posOffset>
                </wp:positionV>
                <wp:extent cx="1377950" cy="588010"/>
                <wp:effectExtent l="0" t="0" r="0" b="2540"/>
                <wp:wrapNone/>
                <wp:docPr id="1485098048" name="Picture 1" descr="Blue and white logo of the Science Learning Hub – Pokapū Akoranga Pūtaiao, www.sciencelearn.org.nz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lue and white logo of the Science Learning Hub – Pokapū Akoranga Pūtaiao, www.sciencelearn.org.nz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0" b="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88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4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  <w:shd w:val="clear" w:color="auto" w:fill="auto"/>
          <w:tcMar/>
          <w:vAlign w:val="center"/>
        </w:tcPr>
        <w:p w:rsidR="003449EB" w:rsidP="00C759F4" w:rsidRDefault="003449EB" w14:paraId="5AA3C623" w14:textId="77777777">
          <w:pPr>
            <w:pStyle w:val="Header"/>
            <w:tabs>
              <w:tab w:val="left" w:pos="1800"/>
            </w:tabs>
            <w:ind w:left="1800" w:hanging="1800"/>
            <w:rPr>
              <w:rFonts w:cs="Arial"/>
              <w:color w:val="3366FF"/>
            </w:rPr>
          </w:pPr>
        </w:p>
        <w:p w:rsidRPr="00D63C30" w:rsidR="005C05EF" w:rsidP="003449EB" w:rsidRDefault="003449EB" w14:paraId="4830AEBC" w14:textId="2A39303F">
          <w:pPr>
            <w:pStyle w:val="Header"/>
            <w:tabs>
              <w:tab w:val="left" w:pos="1800"/>
            </w:tabs>
            <w:rPr>
              <w:rFonts w:cs="Arial"/>
              <w:color w:val="3366FF"/>
            </w:rPr>
          </w:pPr>
          <w:r w:rsidRPr="48E54D5F" w:rsidR="48E54D5F">
            <w:rPr>
              <w:rFonts w:cs="Arial"/>
              <w:color w:val="3366FF"/>
            </w:rPr>
            <w:t>Webinar</w:t>
          </w:r>
          <w:r w:rsidRPr="48E54D5F" w:rsidR="48E54D5F">
            <w:rPr>
              <w:rFonts w:cs="Arial"/>
              <w:color w:val="3366FF"/>
            </w:rPr>
            <w:t xml:space="preserve">: </w:t>
          </w:r>
          <w:r w:rsidRPr="48E54D5F" w:rsidR="48E54D5F">
            <w:rPr>
              <w:rFonts w:cs="Arial"/>
              <w:color w:val="3366FF"/>
            </w:rPr>
            <w:t xml:space="preserve">Taking a knowledge systems approach in the classroom: Some do’s and </w:t>
          </w:r>
          <w:r w:rsidRPr="48E54D5F" w:rsidR="48E54D5F">
            <w:rPr>
              <w:rFonts w:cs="Arial"/>
              <w:color w:val="3366FF"/>
            </w:rPr>
            <w:t>dont’s</w:t>
          </w:r>
        </w:p>
      </w:tc>
    </w:tr>
  </w:tbl>
  <w:p w:rsidR="005C05EF" w:rsidP="00C759F4" w:rsidRDefault="005C05EF" w14:paraId="7F1BECF0" w14:textId="77777777">
    <w:pPr>
      <w:pStyle w:val="Header"/>
      <w:rPr>
        <w:rFonts w:ascii="Arial" w:hAnsi="Arial" w:cs="Arial"/>
        <w:color w:val="3366FF"/>
        <w:sz w:val="18"/>
        <w:szCs w:val="18"/>
      </w:rPr>
    </w:pPr>
  </w:p>
  <w:p w:rsidRPr="00D63C30" w:rsidR="005C05EF" w:rsidP="00C759F4" w:rsidRDefault="005C05EF" w14:paraId="6D5DA959" w14:textId="77777777">
    <w:pPr>
      <w:pStyle w:val="Header"/>
    </w:pPr>
    <w:r>
      <w:rPr>
        <w:rFonts w:ascii="Arial" w:hAnsi="Arial" w:cs="Arial"/>
        <w:color w:val="3366FF"/>
        <w:sz w:val="18"/>
        <w:szCs w:val="18"/>
      </w:rPr>
      <w:t xml:space="preserve"> </w:t>
    </w:r>
  </w:p>
  <w:p w:rsidR="005C05EF" w:rsidRDefault="005C05EF" w14:paraId="3D36A6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92d98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21D3028"/>
    <w:multiLevelType w:val="multilevel"/>
    <w:tmpl w:val="497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FA83E64"/>
    <w:multiLevelType w:val="multilevel"/>
    <w:tmpl w:val="789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B1C489A"/>
    <w:multiLevelType w:val="multilevel"/>
    <w:tmpl w:val="FDE8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EF3ED16"/>
    <w:multiLevelType w:val="hybridMultilevel"/>
    <w:tmpl w:val="7202139C"/>
    <w:lvl w:ilvl="0" w:tplc="9E9092F2">
      <w:start w:val="1"/>
      <w:numFmt w:val="decimal"/>
      <w:lvlText w:val="%1."/>
      <w:lvlJc w:val="left"/>
      <w:pPr>
        <w:ind w:left="720" w:hanging="360"/>
      </w:pPr>
    </w:lvl>
    <w:lvl w:ilvl="1" w:tplc="E55C8A48">
      <w:start w:val="1"/>
      <w:numFmt w:val="lowerLetter"/>
      <w:lvlText w:val="%2."/>
      <w:lvlJc w:val="left"/>
      <w:pPr>
        <w:ind w:left="1440" w:hanging="360"/>
      </w:pPr>
    </w:lvl>
    <w:lvl w:ilvl="2" w:tplc="874AAEAE">
      <w:start w:val="1"/>
      <w:numFmt w:val="lowerRoman"/>
      <w:lvlText w:val="%3."/>
      <w:lvlJc w:val="right"/>
      <w:pPr>
        <w:ind w:left="2160" w:hanging="180"/>
      </w:pPr>
    </w:lvl>
    <w:lvl w:ilvl="3" w:tplc="E6307FE6">
      <w:start w:val="1"/>
      <w:numFmt w:val="decimal"/>
      <w:lvlText w:val="%4."/>
      <w:lvlJc w:val="left"/>
      <w:pPr>
        <w:ind w:left="2880" w:hanging="360"/>
      </w:pPr>
    </w:lvl>
    <w:lvl w:ilvl="4" w:tplc="FE386D52">
      <w:start w:val="1"/>
      <w:numFmt w:val="lowerLetter"/>
      <w:lvlText w:val="%5."/>
      <w:lvlJc w:val="left"/>
      <w:pPr>
        <w:ind w:left="3600" w:hanging="360"/>
      </w:pPr>
    </w:lvl>
    <w:lvl w:ilvl="5" w:tplc="60EE0B00">
      <w:start w:val="1"/>
      <w:numFmt w:val="lowerRoman"/>
      <w:lvlText w:val="%6."/>
      <w:lvlJc w:val="right"/>
      <w:pPr>
        <w:ind w:left="4320" w:hanging="180"/>
      </w:pPr>
    </w:lvl>
    <w:lvl w:ilvl="6" w:tplc="5E2E8FDA">
      <w:start w:val="1"/>
      <w:numFmt w:val="decimal"/>
      <w:lvlText w:val="%7."/>
      <w:lvlJc w:val="left"/>
      <w:pPr>
        <w:ind w:left="5040" w:hanging="360"/>
      </w:pPr>
    </w:lvl>
    <w:lvl w:ilvl="7" w:tplc="3822E774">
      <w:start w:val="1"/>
      <w:numFmt w:val="lowerLetter"/>
      <w:lvlText w:val="%8."/>
      <w:lvlJc w:val="left"/>
      <w:pPr>
        <w:ind w:left="5760" w:hanging="360"/>
      </w:pPr>
    </w:lvl>
    <w:lvl w:ilvl="8" w:tplc="DBF4C5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1C75C"/>
    <w:multiLevelType w:val="hybridMultilevel"/>
    <w:tmpl w:val="4C605414"/>
    <w:lvl w:ilvl="0" w:tplc="E3BAEA7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FBC052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2DA6B7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AE813A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F062C2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DD2606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38A76C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5D2F78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016B60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D1D4C1D"/>
    <w:multiLevelType w:val="hybridMultilevel"/>
    <w:tmpl w:val="59EA0030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3EEE7F8"/>
    <w:multiLevelType w:val="hybridMultilevel"/>
    <w:tmpl w:val="4192D6C4"/>
    <w:lvl w:ilvl="0" w:tplc="AD52D3C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3D4FBB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E9C763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6782A0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07C7E2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1E4AD8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F6A19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AD4DDA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122EF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8A10D6D"/>
    <w:multiLevelType w:val="hybridMultilevel"/>
    <w:tmpl w:val="FE98B074"/>
    <w:lvl w:ilvl="0" w:tplc="EA323B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57A0FC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4E4D10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5D6941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CE2F74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7B6B66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38EDBC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F8C980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920F2A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9">
    <w:abstractNumId w:val="8"/>
  </w:num>
  <w:num w:numId="1" w16cid:durableId="1182934324">
    <w:abstractNumId w:val="6"/>
  </w:num>
  <w:num w:numId="2" w16cid:durableId="1570462397">
    <w:abstractNumId w:val="7"/>
  </w:num>
  <w:num w:numId="3" w16cid:durableId="1540118848">
    <w:abstractNumId w:val="4"/>
  </w:num>
  <w:num w:numId="4" w16cid:durableId="342705409">
    <w:abstractNumId w:val="3"/>
  </w:num>
  <w:num w:numId="5" w16cid:durableId="1419059771">
    <w:abstractNumId w:val="5"/>
  </w:num>
  <w:num w:numId="6" w16cid:durableId="1219246298">
    <w:abstractNumId w:val="2"/>
  </w:num>
  <w:num w:numId="7" w16cid:durableId="1652055510">
    <w:abstractNumId w:val="1"/>
  </w:num>
  <w:num w:numId="8" w16cid:durableId="172984031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Vanya Bootham">
    <w15:presenceInfo w15:providerId="AD" w15:userId="S::vanya.bootham@waikato.ac.nz::e8327fc7-73a0-4511-95b5-5a51b3dfa9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EF"/>
    <w:rsid w:val="001B356B"/>
    <w:rsid w:val="001D0B61"/>
    <w:rsid w:val="002041D7"/>
    <w:rsid w:val="00227A41"/>
    <w:rsid w:val="00325BD3"/>
    <w:rsid w:val="003449EB"/>
    <w:rsid w:val="00580FF9"/>
    <w:rsid w:val="005C05EF"/>
    <w:rsid w:val="006144F4"/>
    <w:rsid w:val="006505FE"/>
    <w:rsid w:val="0067029C"/>
    <w:rsid w:val="00740950"/>
    <w:rsid w:val="00782CFB"/>
    <w:rsid w:val="00826CFE"/>
    <w:rsid w:val="0082E6B9"/>
    <w:rsid w:val="0094588C"/>
    <w:rsid w:val="00AF2D65"/>
    <w:rsid w:val="00DD5A37"/>
    <w:rsid w:val="00E5533F"/>
    <w:rsid w:val="00E87FE8"/>
    <w:rsid w:val="00EC32BC"/>
    <w:rsid w:val="00ED1488"/>
    <w:rsid w:val="022432FE"/>
    <w:rsid w:val="0ABCB988"/>
    <w:rsid w:val="181C0436"/>
    <w:rsid w:val="1954BD37"/>
    <w:rsid w:val="1E0B306D"/>
    <w:rsid w:val="23293D0E"/>
    <w:rsid w:val="2BE8FF69"/>
    <w:rsid w:val="3394975E"/>
    <w:rsid w:val="3FC9A129"/>
    <w:rsid w:val="48600466"/>
    <w:rsid w:val="48E54D5F"/>
    <w:rsid w:val="4E8E7B61"/>
    <w:rsid w:val="57DB2781"/>
    <w:rsid w:val="5DF11E8C"/>
    <w:rsid w:val="6407FF02"/>
    <w:rsid w:val="6B96A9D0"/>
    <w:rsid w:val="6DF1999B"/>
    <w:rsid w:val="79641A22"/>
    <w:rsid w:val="799B444E"/>
    <w:rsid w:val="7A8C31F1"/>
    <w:rsid w:val="7AA78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079D"/>
  <w15:chartTrackingRefBased/>
  <w15:docId w15:val="{63D9AF89-EE98-4B55-B94F-F2BF5CA2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05EF"/>
    <w:pPr>
      <w:widowControl w:val="0"/>
      <w:spacing w:after="0" w:line="240" w:lineRule="auto"/>
    </w:pPr>
    <w:rPr>
      <w:rFonts w:ascii="Verdana" w:hAnsi="Verdana" w:eastAsia="Verdana" w:cs="Verdana"/>
      <w:kern w:val="0"/>
      <w:sz w:val="20"/>
      <w:szCs w:val="20"/>
      <w:lang w:val="en-GB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5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5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5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5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nks" w:customStyle="1">
    <w:name w:val="Links"/>
    <w:basedOn w:val="Normal"/>
    <w:link w:val="LinksChar"/>
    <w:autoRedefine/>
    <w:qFormat/>
    <w:rsid w:val="00E5533F"/>
    <w:rPr>
      <w:color w:val="4C94D8" w:themeColor="text2" w:themeTint="80"/>
      <w:u w:val="single"/>
    </w:rPr>
  </w:style>
  <w:style w:type="character" w:styleId="LinksChar" w:customStyle="1">
    <w:name w:val="Links Char"/>
    <w:basedOn w:val="DefaultParagraphFont"/>
    <w:link w:val="Links"/>
    <w:rsid w:val="00E5533F"/>
    <w:rPr>
      <w:rFonts w:ascii="Verdana" w:hAnsi="Verdana" w:eastAsia="Verdana" w:cs="Verdana"/>
      <w:color w:val="4C94D8" w:themeColor="text2" w:themeTint="80"/>
      <w:kern w:val="0"/>
      <w:sz w:val="20"/>
      <w:szCs w:val="20"/>
      <w:u w:val="single"/>
      <w:lang w:val="en-GB" w:eastAsia="ja-JP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5C05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C05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C05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C05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C05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C05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C05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C05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C0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5E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C05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C0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5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C0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5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C0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5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05E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nhideWhenUsed/>
    <w:rsid w:val="005C05E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C05EF"/>
    <w:rPr>
      <w:rFonts w:ascii="Verdana" w:hAnsi="Verdana" w:eastAsia="Verdana" w:cs="Verdana"/>
      <w:kern w:val="0"/>
      <w:sz w:val="20"/>
      <w:szCs w:val="20"/>
      <w:lang w:val="en-GB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05E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05EF"/>
    <w:rPr>
      <w:rFonts w:ascii="Verdana" w:hAnsi="Verdana" w:eastAsia="Verdana" w:cs="Verdana"/>
      <w:kern w:val="0"/>
      <w:sz w:val="20"/>
      <w:szCs w:val="20"/>
      <w:lang w:val="en-GB"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C05EF"/>
    <w:rPr>
      <w:color w:val="605E5C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2F7E2946-D59B-4F1E-AE50-EAF87C1C8B1D}">
    <t:Anchor>
      <t:Comment id="1599533185"/>
    </t:Anchor>
    <t:History>
      <t:Event id="{8255CCC7-85FD-420D-BDB1-A5B5976F6B2D}" time="2025-02-25T22:57:42.916Z">
        <t:Attribution userId="S::vanya.bootham@waikato.ac.nz::e8327fc7-73a0-4511-95b5-5a51b3dfa98b" userProvider="AD" userName="Vanya Bootham"/>
        <t:Anchor>
          <t:Comment id="1599533185"/>
        </t:Anchor>
        <t:Create/>
      </t:Event>
      <t:Event id="{B3FCEB8E-5CE6-4BE2-BA85-297EB3AA9245}" time="2025-02-25T22:57:42.916Z">
        <t:Attribution userId="S::vanya.bootham@waikato.ac.nz::e8327fc7-73a0-4511-95b5-5a51b3dfa98b" userProvider="AD" userName="Vanya Bootham"/>
        <t:Anchor>
          <t:Comment id="1599533185"/>
        </t:Anchor>
        <t:Assign userId="S::greta.dromgool@waikato.ac.nz::85ae8209-1ebf-40c2-9da0-11c0158c46aa" userProvider="AD" userName="Greta Dromgool"/>
      </t:Event>
      <t:Event id="{63A14456-4ABA-466D-8A46-DFB4DA6FB80B}" time="2025-02-25T22:57:42.916Z">
        <t:Attribution userId="S::vanya.bootham@waikato.ac.nz::e8327fc7-73a0-4511-95b5-5a51b3dfa98b" userProvider="AD" userName="Vanya Bootham"/>
        <t:Anchor>
          <t:Comment id="1599533185"/>
        </t:Anchor>
        <t:SetTitle title="@Greta Dromgool FYI We wouldn't usually have spaces around a slash, but, along with the font being larger than our standard etc., I think it all actually makes it more readable"/>
      </t:Event>
      <t:Event id="{894304B6-0433-4D32-8B96-E54F6AF17824}" time="2025-02-26T03:52:32.644Z">
        <t:Attribution userId="S::vanya.bootham@waikato.ac.nz::e8327fc7-73a0-4511-95b5-5a51b3dfa98b" userProvider="AD" userName="Vanya Bootham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12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62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omments" Target="comments.xml" Id="R04ac975c241b4abd" /><Relationship Type="http://schemas.microsoft.com/office/2011/relationships/people" Target="people.xml" Id="R700a81a80a664ce2" /><Relationship Type="http://schemas.microsoft.com/office/2011/relationships/commentsExtended" Target="commentsExtended.xml" Id="Rc2c9716ebd4242e1" /><Relationship Type="http://schemas.microsoft.com/office/2016/09/relationships/commentsIds" Target="commentsIds.xml" Id="R9521b0c216794e5a" /><Relationship Type="http://schemas.microsoft.com/office/2018/08/relationships/commentsExtensible" Target="commentsExtensible.xml" Id="R6a74dcea055e44b8" /><Relationship Type="http://schemas.microsoft.com/office/2019/05/relationships/documenttasks" Target="tasks.xml" Id="R99d19f73f61f42e0" /><Relationship Type="http://schemas.openxmlformats.org/officeDocument/2006/relationships/hyperlink" Target="https://doi.org/10.1787/8d3b6cfa-en" TargetMode="External" Id="R9ef5658c90514b68" /><Relationship Type="http://schemas.openxmlformats.org/officeDocument/2006/relationships/hyperlink" Target="https://pisa-framework.oecd.org/science-2025/" TargetMode="External" Id="R20023fe4a85f447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2EF59E-76F8-4746-8920-356FC9218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A39BC-655D-4287-809F-086BB3F1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7C064-5F77-4D4A-ADB4-0D4516D17A18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Climate change and the carbon cycle – Kuputaka</dc:title>
  <dc:subject/>
  <dc:creator>Science Learning Hub – Pokapū Akoranga Pūtaiao. The University of Waikato Te Whare Wānanga o Waikato.</dc:creator>
  <keywords/>
  <dc:description/>
  <lastModifiedBy>Vanya Bootham</lastModifiedBy>
  <revision>6</revision>
  <dcterms:created xsi:type="dcterms:W3CDTF">2025-02-25T01:32:00.0000000Z</dcterms:created>
  <dcterms:modified xsi:type="dcterms:W3CDTF">2025-02-26T03:56:53.6212761Z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