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A0FA4" w14:textId="75300901" w:rsidR="007946C9" w:rsidRPr="007B7DAB" w:rsidRDefault="00BB3F08" w:rsidP="52ACCFFD">
      <w:pPr>
        <w:spacing w:line="264" w:lineRule="auto"/>
        <w:rPr>
          <w:rFonts w:ascii="Verdana" w:hAnsi="Verdana"/>
          <w:b/>
          <w:bCs/>
          <w:color w:val="E97132"/>
          <w:sz w:val="36"/>
          <w:szCs w:val="36"/>
        </w:rPr>
      </w:pPr>
      <w:r w:rsidRPr="52ACCFFD">
        <w:rPr>
          <w:rFonts w:ascii="Verdana" w:hAnsi="Verdana"/>
          <w:b/>
          <w:bCs/>
          <w:color w:val="E97132" w:themeColor="accent2"/>
          <w:sz w:val="36"/>
          <w:szCs w:val="36"/>
        </w:rPr>
        <w:t>Taking care of our kupu</w:t>
      </w:r>
    </w:p>
    <w:p w14:paraId="3795E927" w14:textId="001B5600" w:rsidR="0061323F" w:rsidRPr="007B7DAB" w:rsidRDefault="00BF2C05" w:rsidP="52ACCFFD">
      <w:pPr>
        <w:spacing w:line="264" w:lineRule="auto"/>
        <w:rPr>
          <w:rFonts w:ascii="Verdana" w:hAnsi="Verdana"/>
          <w:color w:val="E97132" w:themeColor="accent2"/>
          <w:sz w:val="28"/>
          <w:szCs w:val="28"/>
        </w:rPr>
      </w:pPr>
      <w:r w:rsidRPr="007B7DAB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7624C88C" wp14:editId="4F7FB282">
            <wp:simplePos x="0" y="0"/>
            <wp:positionH relativeFrom="margin">
              <wp:posOffset>3886200</wp:posOffset>
            </wp:positionH>
            <wp:positionV relativeFrom="paragraph">
              <wp:posOffset>297815</wp:posOffset>
            </wp:positionV>
            <wp:extent cx="1793875" cy="1196975"/>
            <wp:effectExtent l="0" t="0" r="0" b="3175"/>
            <wp:wrapSquare wrapText="bothSides"/>
            <wp:docPr id="1869230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19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23F" w:rsidRPr="52ACCFFD">
        <w:rPr>
          <w:rFonts w:ascii="Verdana" w:hAnsi="Verdana"/>
          <w:b/>
          <w:bCs/>
          <w:color w:val="E97132" w:themeColor="accent2"/>
          <w:sz w:val="28"/>
          <w:szCs w:val="28"/>
        </w:rPr>
        <w:t>Ako: Learn about kaitiakitanga and what it means to you</w:t>
      </w:r>
    </w:p>
    <w:p w14:paraId="7D95AEC1" w14:textId="32CEF49A" w:rsidR="00CB0D8B" w:rsidRPr="007B7DAB" w:rsidRDefault="0061323F" w:rsidP="52ACCFFD">
      <w:pPr>
        <w:spacing w:line="264" w:lineRule="auto"/>
        <w:rPr>
          <w:rFonts w:ascii="Verdana" w:hAnsi="Verdana"/>
        </w:rPr>
      </w:pPr>
      <w:r w:rsidRPr="52ACCFFD">
        <w:rPr>
          <w:rFonts w:ascii="Verdana" w:hAnsi="Verdana"/>
        </w:rPr>
        <w:t xml:space="preserve">The kupu </w:t>
      </w:r>
      <w:r w:rsidR="00C76F0B" w:rsidRPr="52ACCFFD">
        <w:rPr>
          <w:rFonts w:ascii="Verdana" w:hAnsi="Verdana"/>
        </w:rPr>
        <w:t>‘</w:t>
      </w:r>
      <w:r w:rsidRPr="52ACCFFD">
        <w:rPr>
          <w:rFonts w:ascii="Verdana" w:hAnsi="Verdana"/>
        </w:rPr>
        <w:t>kaitiaki</w:t>
      </w:r>
      <w:r w:rsidR="00C76F0B" w:rsidRPr="52ACCFFD">
        <w:rPr>
          <w:rFonts w:ascii="Verdana" w:hAnsi="Verdana"/>
        </w:rPr>
        <w:t>’</w:t>
      </w:r>
      <w:r w:rsidRPr="52ACCFFD">
        <w:rPr>
          <w:rFonts w:ascii="Verdana" w:hAnsi="Verdana"/>
        </w:rPr>
        <w:t xml:space="preserve"> and </w:t>
      </w:r>
      <w:r w:rsidR="00C76F0B" w:rsidRPr="52ACCFFD">
        <w:rPr>
          <w:rFonts w:ascii="Verdana" w:hAnsi="Verdana"/>
        </w:rPr>
        <w:t>‘</w:t>
      </w:r>
      <w:r w:rsidRPr="52ACCFFD">
        <w:rPr>
          <w:rFonts w:ascii="Verdana" w:hAnsi="Verdana"/>
        </w:rPr>
        <w:t>kaitiakitanga</w:t>
      </w:r>
      <w:r w:rsidR="00C76F0B" w:rsidRPr="52ACCFFD">
        <w:rPr>
          <w:rFonts w:ascii="Verdana" w:hAnsi="Verdana"/>
        </w:rPr>
        <w:t>’</w:t>
      </w:r>
      <w:r w:rsidRPr="52ACCFFD">
        <w:rPr>
          <w:rFonts w:ascii="Verdana" w:hAnsi="Verdana"/>
        </w:rPr>
        <w:t xml:space="preserve"> are </w:t>
      </w:r>
      <w:r w:rsidR="00CB0D8B" w:rsidRPr="52ACCFFD">
        <w:rPr>
          <w:rFonts w:ascii="Verdana" w:hAnsi="Verdana"/>
        </w:rPr>
        <w:t>often used</w:t>
      </w:r>
      <w:r w:rsidRPr="52ACCFFD">
        <w:rPr>
          <w:rFonts w:ascii="Verdana" w:hAnsi="Verdana"/>
        </w:rPr>
        <w:t xml:space="preserve"> when talking about conservation issues and actions. </w:t>
      </w:r>
    </w:p>
    <w:p w14:paraId="6E7FE0F5" w14:textId="359DC1AA" w:rsidR="00094783" w:rsidRPr="007B7DAB" w:rsidRDefault="0061323F" w:rsidP="52ACCFFD">
      <w:pPr>
        <w:spacing w:line="264" w:lineRule="auto"/>
        <w:rPr>
          <w:rFonts w:ascii="Verdana" w:hAnsi="Verdana"/>
        </w:rPr>
      </w:pPr>
      <w:r w:rsidRPr="52ACCFFD">
        <w:rPr>
          <w:rFonts w:ascii="Verdana" w:hAnsi="Verdana"/>
        </w:rPr>
        <w:t>This activity encourages us to think about how and why these kupu are used.</w:t>
      </w:r>
    </w:p>
    <w:p w14:paraId="048679DD" w14:textId="2692F146" w:rsidR="0061323F" w:rsidRPr="007B7DAB" w:rsidRDefault="00094783" w:rsidP="52ACCFFD">
      <w:pPr>
        <w:spacing w:line="264" w:lineRule="auto"/>
        <w:rPr>
          <w:rFonts w:ascii="Verdana" w:hAnsi="Verdana"/>
        </w:rPr>
      </w:pPr>
      <w:hyperlink r:id="rId11">
        <w:r w:rsidRPr="52ACCFFD">
          <w:rPr>
            <w:rStyle w:val="Hyperlink"/>
            <w:rFonts w:ascii="Verdana" w:hAnsi="Verdana"/>
          </w:rPr>
          <w:t>Taking care of our kupu</w:t>
        </w:r>
      </w:hyperlink>
      <w:r w:rsidRPr="52ACCFFD">
        <w:rPr>
          <w:rFonts w:ascii="Verdana" w:hAnsi="Verdana"/>
        </w:rPr>
        <w:t xml:space="preserve"> (published in </w:t>
      </w:r>
      <w:hyperlink r:id="rId12">
        <w:r w:rsidRPr="52ACCFFD">
          <w:rPr>
            <w:rStyle w:val="Hyperlink"/>
            <w:rFonts w:ascii="Verdana" w:hAnsi="Verdana"/>
          </w:rPr>
          <w:t>E-Tangata</w:t>
        </w:r>
      </w:hyperlink>
      <w:r w:rsidRPr="52ACCFFD">
        <w:rPr>
          <w:rFonts w:ascii="Verdana" w:hAnsi="Verdana"/>
        </w:rPr>
        <w:t xml:space="preserve">) was written by Tame Malcolm </w:t>
      </w:r>
      <w:r w:rsidR="003354FF" w:rsidRPr="52ACCFFD">
        <w:rPr>
          <w:rFonts w:ascii="Verdana" w:hAnsi="Verdana"/>
        </w:rPr>
        <w:t xml:space="preserve">(Te waka o Te Arawa, Ngāti </w:t>
      </w:r>
      <w:proofErr w:type="spellStart"/>
      <w:r w:rsidR="003354FF" w:rsidRPr="52ACCFFD">
        <w:rPr>
          <w:rFonts w:ascii="Verdana" w:hAnsi="Verdana"/>
        </w:rPr>
        <w:t>Tarāwhai</w:t>
      </w:r>
      <w:proofErr w:type="spellEnd"/>
      <w:r w:rsidR="003354FF" w:rsidRPr="52ACCFFD">
        <w:rPr>
          <w:rFonts w:ascii="Verdana" w:hAnsi="Verdana"/>
        </w:rPr>
        <w:t xml:space="preserve">, Ngāti </w:t>
      </w:r>
      <w:proofErr w:type="spellStart"/>
      <w:r w:rsidR="003354FF" w:rsidRPr="52ACCFFD">
        <w:rPr>
          <w:rFonts w:ascii="Verdana" w:hAnsi="Verdana"/>
        </w:rPr>
        <w:t>Pikiao</w:t>
      </w:r>
      <w:proofErr w:type="spellEnd"/>
      <w:r w:rsidR="003354FF" w:rsidRPr="52ACCFFD">
        <w:rPr>
          <w:rFonts w:ascii="Verdana" w:hAnsi="Verdana"/>
        </w:rPr>
        <w:t xml:space="preserve">, Ngāti </w:t>
      </w:r>
      <w:proofErr w:type="spellStart"/>
      <w:r w:rsidR="003354FF" w:rsidRPr="52ACCFFD">
        <w:rPr>
          <w:rFonts w:ascii="Verdana" w:hAnsi="Verdana"/>
        </w:rPr>
        <w:t>Ngararanui</w:t>
      </w:r>
      <w:proofErr w:type="spellEnd"/>
      <w:r w:rsidR="003354FF" w:rsidRPr="52ACCFFD">
        <w:rPr>
          <w:rFonts w:ascii="Verdana" w:hAnsi="Verdana"/>
        </w:rPr>
        <w:t xml:space="preserve">, Ngāti </w:t>
      </w:r>
      <w:proofErr w:type="spellStart"/>
      <w:r w:rsidR="003354FF" w:rsidRPr="52ACCFFD">
        <w:rPr>
          <w:rFonts w:ascii="Verdana" w:hAnsi="Verdana"/>
        </w:rPr>
        <w:t>Whakaue</w:t>
      </w:r>
      <w:proofErr w:type="spellEnd"/>
      <w:r w:rsidR="003354FF" w:rsidRPr="52ACCFFD">
        <w:rPr>
          <w:rFonts w:ascii="Verdana" w:hAnsi="Verdana"/>
        </w:rPr>
        <w:t>)</w:t>
      </w:r>
      <w:r w:rsidRPr="52ACCFFD">
        <w:rPr>
          <w:rFonts w:ascii="Verdana" w:hAnsi="Verdana"/>
        </w:rPr>
        <w:t>. Tame</w:t>
      </w:r>
      <w:r w:rsidR="003354FF" w:rsidRPr="52ACCFFD">
        <w:rPr>
          <w:rFonts w:ascii="Verdana" w:hAnsi="Verdana"/>
        </w:rPr>
        <w:t xml:space="preserve"> is</w:t>
      </w:r>
      <w:r w:rsidRPr="52ACCFFD">
        <w:rPr>
          <w:rFonts w:ascii="Verdana" w:hAnsi="Verdana"/>
        </w:rPr>
        <w:t xml:space="preserve"> a conservationist and</w:t>
      </w:r>
      <w:r w:rsidR="003354FF" w:rsidRPr="52ACCFFD">
        <w:rPr>
          <w:rFonts w:ascii="Verdana" w:hAnsi="Verdana"/>
        </w:rPr>
        <w:t xml:space="preserve"> an expert in indigenous pest management.</w:t>
      </w:r>
      <w:r w:rsidRPr="52ACCFFD">
        <w:rPr>
          <w:rFonts w:ascii="Verdana" w:hAnsi="Verdana"/>
        </w:rPr>
        <w:t xml:space="preserve"> </w:t>
      </w:r>
    </w:p>
    <w:p w14:paraId="516BD938" w14:textId="36376B2A" w:rsidR="00094783" w:rsidRPr="007B7DAB" w:rsidRDefault="00094783" w:rsidP="007B7DAB">
      <w:pPr>
        <w:spacing w:line="264" w:lineRule="auto"/>
        <w:rPr>
          <w:rFonts w:ascii="Verdana" w:hAnsi="Verdana"/>
          <w:b/>
          <w:bCs/>
          <w:color w:val="E97132" w:themeColor="accent2"/>
          <w:sz w:val="28"/>
          <w:szCs w:val="28"/>
        </w:rPr>
      </w:pPr>
      <w:r w:rsidRPr="007B7DAB">
        <w:rPr>
          <w:rFonts w:ascii="Verdana" w:hAnsi="Verdana"/>
          <w:b/>
          <w:bCs/>
          <w:color w:val="E97132" w:themeColor="accent2"/>
          <w:sz w:val="28"/>
          <w:szCs w:val="28"/>
        </w:rPr>
        <w:t>Mahi:</w:t>
      </w:r>
    </w:p>
    <w:p w14:paraId="3C1F2171" w14:textId="04215AC5" w:rsidR="00B11314" w:rsidRPr="007B7DAB" w:rsidRDefault="00335408" w:rsidP="007B7DAB">
      <w:pPr>
        <w:spacing w:line="264" w:lineRule="auto"/>
        <w:rPr>
          <w:rFonts w:ascii="Verdana" w:hAnsi="Verdana"/>
        </w:rPr>
      </w:pPr>
      <w:r w:rsidRPr="007B7DAB">
        <w:rPr>
          <w:rFonts w:ascii="Verdana" w:hAnsi="Verdana"/>
        </w:rPr>
        <w:t xml:space="preserve">Read </w:t>
      </w:r>
      <w:hyperlink r:id="rId13" w:history="1">
        <w:r w:rsidRPr="007B7DAB">
          <w:rPr>
            <w:rStyle w:val="Hyperlink"/>
            <w:rFonts w:ascii="Verdana" w:hAnsi="Verdana"/>
          </w:rPr>
          <w:t>Taking care of our kupu</w:t>
        </w:r>
      </w:hyperlink>
      <w:r w:rsidRPr="007B7DAB">
        <w:rPr>
          <w:rFonts w:ascii="Verdana" w:hAnsi="Verdana"/>
        </w:rPr>
        <w:t>.</w:t>
      </w:r>
    </w:p>
    <w:p w14:paraId="1A5B155E" w14:textId="4A82507B" w:rsidR="00094783" w:rsidRPr="007B7DAB" w:rsidRDefault="00335408" w:rsidP="00E17DD5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</w:rPr>
      </w:pPr>
      <w:r w:rsidRPr="007B7DAB">
        <w:rPr>
          <w:rFonts w:ascii="Verdana" w:hAnsi="Verdana"/>
        </w:rPr>
        <w:t xml:space="preserve">While you read, consider some of these </w:t>
      </w:r>
      <w:r w:rsidR="00E26CAC" w:rsidRPr="007B7DAB">
        <w:rPr>
          <w:rFonts w:ascii="Verdana" w:hAnsi="Verdana"/>
        </w:rPr>
        <w:t>excerpts:</w:t>
      </w:r>
    </w:p>
    <w:p w14:paraId="6404CC14" w14:textId="578F68CC" w:rsidR="00E26CAC" w:rsidRPr="007B7DAB" w:rsidRDefault="00B11314" w:rsidP="00E17DD5">
      <w:pPr>
        <w:spacing w:line="264" w:lineRule="auto"/>
        <w:ind w:left="993"/>
        <w:rPr>
          <w:rFonts w:ascii="Verdana" w:hAnsi="Verdana"/>
        </w:rPr>
      </w:pPr>
      <w:r w:rsidRPr="007B7DAB">
        <w:rPr>
          <w:rFonts w:ascii="Verdana" w:hAnsi="Verdana"/>
        </w:rPr>
        <w:t>“It’s a word we say all the time, but do we really know and understand the deep concepts associated with it?”</w:t>
      </w:r>
    </w:p>
    <w:p w14:paraId="72F2AE2A" w14:textId="1F9E91B0" w:rsidR="00B11314" w:rsidRPr="007B7DAB" w:rsidRDefault="00B11314" w:rsidP="00E17DD5">
      <w:pPr>
        <w:spacing w:line="264" w:lineRule="auto"/>
        <w:ind w:left="993"/>
        <w:rPr>
          <w:rFonts w:ascii="Verdana" w:hAnsi="Verdana"/>
        </w:rPr>
      </w:pPr>
      <w:r w:rsidRPr="007B7DAB">
        <w:rPr>
          <w:rFonts w:ascii="Verdana" w:hAnsi="Verdana"/>
        </w:rPr>
        <w:t>“For Matua Kevin and his whānau, conservation of natural resources was just something they did. It was part of their everyday life. It was not something that had a title.”</w:t>
      </w:r>
    </w:p>
    <w:p w14:paraId="0F4DC7CE" w14:textId="4DF81794" w:rsidR="00B11314" w:rsidRPr="007B7DAB" w:rsidRDefault="00B11314" w:rsidP="52ACCFFD">
      <w:pPr>
        <w:spacing w:line="264" w:lineRule="auto"/>
        <w:ind w:left="993"/>
        <w:rPr>
          <w:rFonts w:ascii="Verdana" w:hAnsi="Verdana"/>
        </w:rPr>
      </w:pPr>
      <w:r w:rsidRPr="52ACCFFD">
        <w:rPr>
          <w:rFonts w:ascii="Verdana" w:hAnsi="Verdana"/>
        </w:rPr>
        <w:t xml:space="preserve">“I don’t mind what people choose to call themselves. Ultimately, if the kupu kaitiaki encourages people to think about protecting the beauty and diversity of our environment, then that’s a good thing.” </w:t>
      </w:r>
    </w:p>
    <w:p w14:paraId="17BBEAD5" w14:textId="526CC5DD" w:rsidR="00B11314" w:rsidRPr="007B7DAB" w:rsidRDefault="00B11314" w:rsidP="52ACCFFD">
      <w:pPr>
        <w:spacing w:line="264" w:lineRule="auto"/>
        <w:ind w:left="993"/>
        <w:rPr>
          <w:rFonts w:ascii="Verdana" w:hAnsi="Verdana"/>
        </w:rPr>
      </w:pPr>
      <w:r w:rsidRPr="52ACCFFD">
        <w:rPr>
          <w:rFonts w:ascii="Verdana" w:hAnsi="Verdana"/>
        </w:rPr>
        <w:t>“What I do hope though, is that by using it, we take care not to forget the beauty and diversity of our reo Māori — and we strive to understand and protect its complexity, too.”</w:t>
      </w:r>
    </w:p>
    <w:p w14:paraId="14EAE685" w14:textId="2ED50D7C" w:rsidR="00335408" w:rsidRPr="007B7DAB" w:rsidRDefault="00B11314" w:rsidP="00E17DD5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</w:rPr>
      </w:pPr>
      <w:r w:rsidRPr="007B7DAB">
        <w:rPr>
          <w:rFonts w:ascii="Verdana" w:hAnsi="Verdana"/>
        </w:rPr>
        <w:t>Write down some of the words or phrases in the article that have given you cause to pause and think.</w:t>
      </w:r>
    </w:p>
    <w:p w14:paraId="6155525C" w14:textId="77777777" w:rsidR="00700903" w:rsidRDefault="00700903" w:rsidP="007B7DAB">
      <w:pPr>
        <w:spacing w:line="264" w:lineRule="auto"/>
        <w:rPr>
          <w:rFonts w:ascii="Verdana" w:hAnsi="Verdana"/>
        </w:rPr>
      </w:pPr>
    </w:p>
    <w:p w14:paraId="0FA49BE8" w14:textId="77777777" w:rsidR="002B5D0B" w:rsidRDefault="002B5D0B" w:rsidP="007B7DAB">
      <w:pPr>
        <w:spacing w:line="264" w:lineRule="auto"/>
        <w:rPr>
          <w:rFonts w:ascii="Verdana" w:hAnsi="Verdana"/>
        </w:rPr>
      </w:pPr>
    </w:p>
    <w:p w14:paraId="64B69DE6" w14:textId="77777777" w:rsidR="002B5D0B" w:rsidRDefault="002B5D0B" w:rsidP="007B7DAB">
      <w:pPr>
        <w:spacing w:line="264" w:lineRule="auto"/>
        <w:rPr>
          <w:rFonts w:ascii="Verdana" w:hAnsi="Verdana"/>
        </w:rPr>
      </w:pPr>
    </w:p>
    <w:p w14:paraId="63C246AE" w14:textId="77777777" w:rsidR="002B5D0B" w:rsidRDefault="002B5D0B" w:rsidP="007B7DAB">
      <w:pPr>
        <w:spacing w:line="264" w:lineRule="auto"/>
        <w:rPr>
          <w:rFonts w:ascii="Verdana" w:hAnsi="Verdana"/>
        </w:rPr>
      </w:pPr>
    </w:p>
    <w:p w14:paraId="0309F407" w14:textId="77777777" w:rsidR="002B5D0B" w:rsidRPr="007B7DAB" w:rsidRDefault="002B5D0B" w:rsidP="007B7DAB">
      <w:pPr>
        <w:spacing w:line="264" w:lineRule="auto"/>
        <w:rPr>
          <w:rFonts w:ascii="Verdana" w:hAnsi="Verdana"/>
        </w:rPr>
      </w:pPr>
    </w:p>
    <w:p w14:paraId="5C14CB34" w14:textId="6A4D1504" w:rsidR="0061323F" w:rsidRPr="007B7DAB" w:rsidRDefault="00B11314" w:rsidP="007B7DAB">
      <w:pPr>
        <w:spacing w:line="264" w:lineRule="auto"/>
        <w:rPr>
          <w:rFonts w:ascii="Verdana" w:hAnsi="Verdana"/>
          <w:b/>
          <w:bCs/>
          <w:color w:val="E97132" w:themeColor="accent2"/>
          <w:sz w:val="28"/>
          <w:szCs w:val="28"/>
        </w:rPr>
      </w:pPr>
      <w:r w:rsidRPr="007B7DAB">
        <w:rPr>
          <w:rFonts w:ascii="Verdana" w:hAnsi="Verdana"/>
          <w:b/>
          <w:bCs/>
          <w:color w:val="E97132" w:themeColor="accent2"/>
          <w:sz w:val="28"/>
          <w:szCs w:val="28"/>
        </w:rPr>
        <w:lastRenderedPageBreak/>
        <w:t>Mahi:</w:t>
      </w:r>
    </w:p>
    <w:p w14:paraId="419D4D97" w14:textId="603F1989" w:rsidR="00B11314" w:rsidRPr="007B7DAB" w:rsidRDefault="00BF2C05" w:rsidP="007B7DAB">
      <w:pPr>
        <w:spacing w:line="264" w:lineRule="auto"/>
        <w:rPr>
          <w:rFonts w:ascii="Verdana" w:hAnsi="Verdana"/>
        </w:rPr>
      </w:pPr>
      <w:r w:rsidRPr="52ACCFFD">
        <w:rPr>
          <w:rFonts w:ascii="Verdana" w:hAnsi="Verdana"/>
        </w:rPr>
        <w:t xml:space="preserve">These </w:t>
      </w:r>
      <w:r w:rsidR="00B11314" w:rsidRPr="52ACCFFD">
        <w:rPr>
          <w:rFonts w:ascii="Verdana" w:hAnsi="Verdana"/>
        </w:rPr>
        <w:t>are glossary definitions/explanations from three different websites.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3402"/>
        <w:gridCol w:w="3209"/>
      </w:tblGrid>
      <w:tr w:rsidR="00026FBC" w14:paraId="3CEC8B2B" w14:textId="77777777" w:rsidTr="005A013D">
        <w:tc>
          <w:tcPr>
            <w:tcW w:w="2405" w:type="dxa"/>
          </w:tcPr>
          <w:p w14:paraId="776C4EE4" w14:textId="4AA7EE10" w:rsidR="00026FBC" w:rsidRDefault="00026FBC" w:rsidP="002B5D0B">
            <w:pPr>
              <w:rPr>
                <w:rFonts w:ascii="Verdana" w:hAnsi="Verdana"/>
              </w:rPr>
            </w:pPr>
            <w:hyperlink r:id="rId14" w:history="1">
              <w:r w:rsidRPr="007B7DAB">
                <w:rPr>
                  <w:rStyle w:val="Hyperlink"/>
                  <w:rFonts w:ascii="Verdana" w:hAnsi="Verdana"/>
                </w:rPr>
                <w:t>Te Aka Māori Dictionary</w:t>
              </w:r>
            </w:hyperlink>
          </w:p>
        </w:tc>
        <w:tc>
          <w:tcPr>
            <w:tcW w:w="3402" w:type="dxa"/>
          </w:tcPr>
          <w:p w14:paraId="111B781E" w14:textId="24309CC5" w:rsidR="00026FBC" w:rsidRDefault="00026FBC" w:rsidP="002B5D0B">
            <w:pPr>
              <w:rPr>
                <w:rFonts w:ascii="Verdana" w:hAnsi="Verdana"/>
              </w:rPr>
            </w:pPr>
            <w:hyperlink r:id="rId15" w:history="1">
              <w:r w:rsidRPr="007B7DAB">
                <w:rPr>
                  <w:rStyle w:val="Hyperlink"/>
                  <w:rFonts w:ascii="Verdana" w:hAnsi="Verdana"/>
                </w:rPr>
                <w:t xml:space="preserve">Te Ara – The </w:t>
              </w:r>
              <w:proofErr w:type="spellStart"/>
              <w:r w:rsidRPr="007B7DAB">
                <w:rPr>
                  <w:rStyle w:val="Hyperlink"/>
                  <w:rFonts w:ascii="Verdana" w:hAnsi="Verdana"/>
                </w:rPr>
                <w:t>Encyclopedia</w:t>
              </w:r>
              <w:proofErr w:type="spellEnd"/>
              <w:r w:rsidRPr="007B7DAB">
                <w:rPr>
                  <w:rStyle w:val="Hyperlink"/>
                  <w:rFonts w:ascii="Verdana" w:hAnsi="Verdana"/>
                </w:rPr>
                <w:t xml:space="preserve"> of New Zealand</w:t>
              </w:r>
            </w:hyperlink>
          </w:p>
        </w:tc>
        <w:tc>
          <w:tcPr>
            <w:tcW w:w="3209" w:type="dxa"/>
          </w:tcPr>
          <w:p w14:paraId="45C3678B" w14:textId="77777777" w:rsidR="00026FBC" w:rsidRPr="007B7DAB" w:rsidRDefault="00026FBC" w:rsidP="002B5D0B">
            <w:pPr>
              <w:rPr>
                <w:rFonts w:ascii="Verdana" w:hAnsi="Verdana"/>
              </w:rPr>
            </w:pPr>
            <w:hyperlink r:id="rId16" w:history="1">
              <w:r w:rsidRPr="007B7DAB">
                <w:rPr>
                  <w:rStyle w:val="Hyperlink"/>
                  <w:rFonts w:ascii="Verdana" w:hAnsi="Verdana"/>
                </w:rPr>
                <w:t>Science Learning Hub</w:t>
              </w:r>
            </w:hyperlink>
          </w:p>
          <w:p w14:paraId="65DBD0F7" w14:textId="77777777" w:rsidR="00026FBC" w:rsidRDefault="00026FBC" w:rsidP="002B5D0B">
            <w:pPr>
              <w:rPr>
                <w:rFonts w:ascii="Verdana" w:hAnsi="Verdana"/>
              </w:rPr>
            </w:pPr>
          </w:p>
        </w:tc>
      </w:tr>
      <w:tr w:rsidR="00026FBC" w14:paraId="62DBCFB8" w14:textId="77777777" w:rsidTr="005A013D">
        <w:tc>
          <w:tcPr>
            <w:tcW w:w="2405" w:type="dxa"/>
          </w:tcPr>
          <w:p w14:paraId="59A3B8A0" w14:textId="3FC4B436" w:rsidR="00026FBC" w:rsidRDefault="00026FBC" w:rsidP="002B5D0B">
            <w:pPr>
              <w:rPr>
                <w:rFonts w:ascii="Verdana" w:hAnsi="Verdana"/>
              </w:rPr>
            </w:pPr>
            <w:r w:rsidRPr="007B7DAB">
              <w:rPr>
                <w:rFonts w:ascii="Verdana" w:hAnsi="Verdana"/>
                <w:b/>
                <w:bCs/>
              </w:rPr>
              <w:t>Kaitiaki</w:t>
            </w:r>
            <w:r w:rsidR="0081187E">
              <w:rPr>
                <w:rFonts w:ascii="Verdana" w:hAnsi="Verdana"/>
                <w:b/>
                <w:bCs/>
              </w:rPr>
              <w:t xml:space="preserve"> </w:t>
            </w:r>
            <w:r w:rsidRPr="007B7DAB">
              <w:rPr>
                <w:rFonts w:ascii="Verdana" w:hAnsi="Verdana"/>
              </w:rPr>
              <w:t>– trustee, minder, guard, custodian, guardian, caregiver, keeper, steward.</w:t>
            </w:r>
          </w:p>
        </w:tc>
        <w:tc>
          <w:tcPr>
            <w:tcW w:w="3402" w:type="dxa"/>
          </w:tcPr>
          <w:p w14:paraId="78EEC151" w14:textId="7EDD5641" w:rsidR="00026FBC" w:rsidRDefault="00026FBC" w:rsidP="002B5D0B">
            <w:pPr>
              <w:rPr>
                <w:rFonts w:ascii="Verdana" w:hAnsi="Verdana"/>
              </w:rPr>
            </w:pPr>
            <w:r w:rsidRPr="007B7DAB">
              <w:rPr>
                <w:rFonts w:ascii="Verdana" w:hAnsi="Verdana"/>
              </w:rPr>
              <w:t xml:space="preserve">A </w:t>
            </w:r>
            <w:r w:rsidRPr="007B7DAB">
              <w:rPr>
                <w:rFonts w:ascii="Verdana" w:hAnsi="Verdana"/>
                <w:b/>
                <w:bCs/>
              </w:rPr>
              <w:t>kaitiaki</w:t>
            </w:r>
            <w:r w:rsidRPr="007B7DAB">
              <w:rPr>
                <w:rFonts w:ascii="Verdana" w:hAnsi="Verdana"/>
              </w:rPr>
              <w:t xml:space="preserve"> is a guardian. This can be a person or group that cares for an area such as a lake or forest. They are given that role by the local iwi.</w:t>
            </w:r>
          </w:p>
        </w:tc>
        <w:tc>
          <w:tcPr>
            <w:tcW w:w="3209" w:type="dxa"/>
          </w:tcPr>
          <w:p w14:paraId="02D95352" w14:textId="77777777" w:rsidR="00026FBC" w:rsidRPr="007B7DAB" w:rsidRDefault="00026FBC" w:rsidP="52ACCFFD">
            <w:pPr>
              <w:rPr>
                <w:rFonts w:ascii="Verdana" w:hAnsi="Verdana"/>
              </w:rPr>
            </w:pPr>
            <w:r w:rsidRPr="52ACCFFD">
              <w:rPr>
                <w:rFonts w:ascii="Verdana" w:hAnsi="Verdana"/>
                <w:b/>
                <w:bCs/>
              </w:rPr>
              <w:t>Kaitiaki</w:t>
            </w:r>
            <w:r w:rsidRPr="52ACCFFD">
              <w:rPr>
                <w:rFonts w:ascii="Verdana" w:hAnsi="Verdana"/>
              </w:rPr>
              <w:t xml:space="preserve"> – A person, group or being that acts as a </w:t>
            </w:r>
            <w:proofErr w:type="spellStart"/>
            <w:r w:rsidRPr="52ACCFFD">
              <w:rPr>
                <w:rFonts w:ascii="Verdana" w:hAnsi="Verdana"/>
              </w:rPr>
              <w:t>carer</w:t>
            </w:r>
            <w:proofErr w:type="spellEnd"/>
            <w:r w:rsidRPr="52ACCFFD">
              <w:rPr>
                <w:rFonts w:ascii="Verdana" w:hAnsi="Verdana"/>
              </w:rPr>
              <w:t>, guardian, protector and conserver.</w:t>
            </w:r>
          </w:p>
          <w:p w14:paraId="7A7B2F8B" w14:textId="77777777" w:rsidR="00026FBC" w:rsidRDefault="00026FBC" w:rsidP="002B5D0B">
            <w:pPr>
              <w:rPr>
                <w:rFonts w:ascii="Verdana" w:hAnsi="Verdana"/>
              </w:rPr>
            </w:pPr>
          </w:p>
        </w:tc>
      </w:tr>
      <w:tr w:rsidR="00026FBC" w14:paraId="223496F6" w14:textId="77777777" w:rsidTr="005A013D">
        <w:tc>
          <w:tcPr>
            <w:tcW w:w="2405" w:type="dxa"/>
          </w:tcPr>
          <w:p w14:paraId="25BCB929" w14:textId="5EC9C218" w:rsidR="00026FBC" w:rsidRDefault="00026FBC" w:rsidP="52ACCFFD">
            <w:pPr>
              <w:rPr>
                <w:rFonts w:ascii="Verdana" w:hAnsi="Verdana"/>
              </w:rPr>
            </w:pPr>
            <w:r w:rsidRPr="52ACCFFD">
              <w:rPr>
                <w:rFonts w:ascii="Verdana" w:hAnsi="Verdana"/>
                <w:b/>
                <w:bCs/>
              </w:rPr>
              <w:t>Kaitiakitanga</w:t>
            </w:r>
            <w:r w:rsidRPr="52ACCFFD">
              <w:rPr>
                <w:rFonts w:ascii="Verdana" w:hAnsi="Verdana"/>
              </w:rPr>
              <w:t xml:space="preserve"> – guardianship, stewardship, trusteeship, trustee</w:t>
            </w:r>
          </w:p>
        </w:tc>
        <w:tc>
          <w:tcPr>
            <w:tcW w:w="3402" w:type="dxa"/>
          </w:tcPr>
          <w:p w14:paraId="5C5850BA" w14:textId="77777777" w:rsidR="00026FBC" w:rsidRPr="007B7DAB" w:rsidRDefault="00026FBC" w:rsidP="52ACCFFD">
            <w:pPr>
              <w:rPr>
                <w:rFonts w:ascii="Verdana" w:hAnsi="Verdana"/>
              </w:rPr>
            </w:pPr>
            <w:r w:rsidRPr="52ACCFFD">
              <w:rPr>
                <w:rFonts w:ascii="Verdana" w:hAnsi="Verdana"/>
                <w:b/>
                <w:bCs/>
              </w:rPr>
              <w:t>Kaitiakitanga</w:t>
            </w:r>
            <w:r w:rsidRPr="52ACCFFD">
              <w:rPr>
                <w:rFonts w:ascii="Verdana" w:hAnsi="Verdana"/>
              </w:rPr>
              <w:t xml:space="preserve"> means guardianship and protection. It is a way of managing the environment, based on the Māori world view. </w:t>
            </w:r>
          </w:p>
          <w:p w14:paraId="54182246" w14:textId="77777777" w:rsidR="00026FBC" w:rsidRDefault="00026FBC" w:rsidP="002B5D0B">
            <w:pPr>
              <w:rPr>
                <w:rFonts w:ascii="Verdana" w:hAnsi="Verdana"/>
              </w:rPr>
            </w:pPr>
          </w:p>
        </w:tc>
        <w:tc>
          <w:tcPr>
            <w:tcW w:w="3209" w:type="dxa"/>
          </w:tcPr>
          <w:p w14:paraId="3CE7C31A" w14:textId="22C8D1C8" w:rsidR="00026FBC" w:rsidRDefault="00026FBC" w:rsidP="52ACCFFD">
            <w:pPr>
              <w:rPr>
                <w:rFonts w:ascii="Verdana" w:hAnsi="Verdana"/>
              </w:rPr>
            </w:pPr>
            <w:r w:rsidRPr="52ACCFFD">
              <w:rPr>
                <w:rFonts w:ascii="Verdana" w:hAnsi="Verdana"/>
                <w:b/>
                <w:bCs/>
              </w:rPr>
              <w:t>Kaitiakitanga</w:t>
            </w:r>
            <w:r w:rsidRPr="52ACCFFD">
              <w:rPr>
                <w:rFonts w:ascii="Verdana" w:hAnsi="Verdana"/>
              </w:rPr>
              <w:t xml:space="preserve"> – A term that encompasses ideas about care and guardianship of the sea, sky and land – the environment. Kaitiaki refers to those who carry out kaitiakitanga such as tangata whenua (people of the land).</w:t>
            </w:r>
          </w:p>
        </w:tc>
      </w:tr>
    </w:tbl>
    <w:p w14:paraId="1A4EA00B" w14:textId="77777777" w:rsidR="007B3360" w:rsidRPr="005A013D" w:rsidRDefault="007B3360" w:rsidP="007B7DAB">
      <w:pPr>
        <w:spacing w:line="264" w:lineRule="auto"/>
        <w:rPr>
          <w:rFonts w:ascii="Verdana" w:hAnsi="Verdana"/>
          <w:sz w:val="20"/>
          <w:szCs w:val="20"/>
        </w:rPr>
      </w:pPr>
    </w:p>
    <w:p w14:paraId="7B985C0A" w14:textId="7A730C5A" w:rsidR="00B11314" w:rsidRPr="007B7DAB" w:rsidRDefault="00B11314" w:rsidP="00E17DD5">
      <w:pPr>
        <w:pStyle w:val="ListParagraph"/>
        <w:numPr>
          <w:ilvl w:val="0"/>
          <w:numId w:val="2"/>
        </w:numPr>
        <w:spacing w:line="264" w:lineRule="auto"/>
        <w:ind w:left="567" w:hanging="567"/>
        <w:rPr>
          <w:rFonts w:ascii="Verdana" w:hAnsi="Verdana"/>
        </w:rPr>
      </w:pPr>
      <w:r w:rsidRPr="007B7DAB">
        <w:rPr>
          <w:rFonts w:ascii="Verdana" w:hAnsi="Verdana"/>
        </w:rPr>
        <w:t xml:space="preserve">After reading </w:t>
      </w:r>
      <w:hyperlink r:id="rId17" w:history="1">
        <w:r w:rsidR="002B5D0B" w:rsidRPr="007B7DAB">
          <w:rPr>
            <w:rStyle w:val="Hyperlink"/>
            <w:rFonts w:ascii="Verdana" w:hAnsi="Verdana"/>
          </w:rPr>
          <w:t>Taking care of our kupu</w:t>
        </w:r>
      </w:hyperlink>
      <w:r w:rsidR="002B5D0B">
        <w:rPr>
          <w:rFonts w:ascii="Verdana" w:hAnsi="Verdana"/>
        </w:rPr>
        <w:t>,</w:t>
      </w:r>
      <w:r w:rsidR="00700903" w:rsidRPr="007B7DAB">
        <w:rPr>
          <w:rFonts w:ascii="Verdana" w:hAnsi="Verdana"/>
        </w:rPr>
        <w:t xml:space="preserve"> w</w:t>
      </w:r>
      <w:r w:rsidRPr="007B7DAB">
        <w:rPr>
          <w:rFonts w:ascii="Verdana" w:hAnsi="Verdana"/>
        </w:rPr>
        <w:t>hich definition resonates with you?</w:t>
      </w:r>
    </w:p>
    <w:p w14:paraId="458E805B" w14:textId="77777777" w:rsidR="00700903" w:rsidRDefault="00700903" w:rsidP="007B7DAB">
      <w:pPr>
        <w:spacing w:line="264" w:lineRule="auto"/>
        <w:rPr>
          <w:rFonts w:ascii="Verdana" w:hAnsi="Verdana"/>
        </w:rPr>
      </w:pPr>
    </w:p>
    <w:p w14:paraId="7ABE2B34" w14:textId="77777777" w:rsidR="00BF2C05" w:rsidRDefault="00BF2C05" w:rsidP="007B7DAB">
      <w:pPr>
        <w:spacing w:line="264" w:lineRule="auto"/>
        <w:rPr>
          <w:rFonts w:ascii="Verdana" w:hAnsi="Verdana"/>
        </w:rPr>
      </w:pPr>
    </w:p>
    <w:p w14:paraId="46D5B570" w14:textId="77777777" w:rsidR="00BF2C05" w:rsidRDefault="00BF2C05" w:rsidP="007B7DAB">
      <w:pPr>
        <w:spacing w:line="264" w:lineRule="auto"/>
        <w:rPr>
          <w:rFonts w:ascii="Verdana" w:hAnsi="Verdana"/>
        </w:rPr>
      </w:pPr>
    </w:p>
    <w:p w14:paraId="68F9553F" w14:textId="77777777" w:rsidR="00BF2C05" w:rsidRPr="007B7DAB" w:rsidRDefault="00BF2C05" w:rsidP="007B7DAB">
      <w:pPr>
        <w:spacing w:line="264" w:lineRule="auto"/>
        <w:rPr>
          <w:rFonts w:ascii="Verdana" w:hAnsi="Verdana"/>
        </w:rPr>
      </w:pPr>
    </w:p>
    <w:p w14:paraId="4F65BBB8" w14:textId="2338920E" w:rsidR="00700903" w:rsidRPr="007B7DAB" w:rsidRDefault="00700903" w:rsidP="00E17DD5">
      <w:pPr>
        <w:pStyle w:val="ListParagraph"/>
        <w:numPr>
          <w:ilvl w:val="0"/>
          <w:numId w:val="2"/>
        </w:numPr>
        <w:spacing w:line="264" w:lineRule="auto"/>
        <w:ind w:left="567" w:hanging="567"/>
        <w:rPr>
          <w:rFonts w:ascii="Verdana" w:hAnsi="Verdana"/>
        </w:rPr>
      </w:pPr>
      <w:r w:rsidRPr="007B7DAB">
        <w:rPr>
          <w:rFonts w:ascii="Verdana" w:hAnsi="Verdana"/>
        </w:rPr>
        <w:t>Has reading the article affected your choice of definition? Explain why or why not.</w:t>
      </w:r>
    </w:p>
    <w:p w14:paraId="24986533" w14:textId="77777777" w:rsidR="00DA308B" w:rsidRPr="007B7DAB" w:rsidRDefault="00DA308B" w:rsidP="007B7DAB">
      <w:pPr>
        <w:spacing w:line="264" w:lineRule="auto"/>
        <w:rPr>
          <w:rFonts w:ascii="Verdana" w:hAnsi="Verdana"/>
        </w:rPr>
      </w:pPr>
    </w:p>
    <w:p w14:paraId="22552AED" w14:textId="77777777" w:rsidR="00BB3F08" w:rsidRPr="007B7DAB" w:rsidRDefault="00BB3F08" w:rsidP="007B7DAB">
      <w:pPr>
        <w:spacing w:line="264" w:lineRule="auto"/>
        <w:rPr>
          <w:rFonts w:ascii="Verdana" w:hAnsi="Verdana"/>
        </w:rPr>
      </w:pPr>
    </w:p>
    <w:p w14:paraId="49BCCF6D" w14:textId="77777777" w:rsidR="00BB3F08" w:rsidRDefault="00BB3F08" w:rsidP="007B7DAB">
      <w:pPr>
        <w:spacing w:line="264" w:lineRule="auto"/>
        <w:rPr>
          <w:rFonts w:ascii="Verdana" w:hAnsi="Verdana"/>
        </w:rPr>
      </w:pPr>
    </w:p>
    <w:p w14:paraId="59FA8D8F" w14:textId="77777777" w:rsidR="00E17DD5" w:rsidRDefault="00E17DD5" w:rsidP="007B7DAB">
      <w:pPr>
        <w:spacing w:line="264" w:lineRule="auto"/>
        <w:rPr>
          <w:rFonts w:ascii="Verdana" w:hAnsi="Verdana"/>
        </w:rPr>
      </w:pPr>
    </w:p>
    <w:p w14:paraId="45416BA3" w14:textId="77777777" w:rsidR="0085786C" w:rsidRPr="007B7DAB" w:rsidRDefault="0085786C" w:rsidP="007B7DAB">
      <w:pPr>
        <w:spacing w:line="264" w:lineRule="auto"/>
        <w:rPr>
          <w:rFonts w:ascii="Verdana" w:hAnsi="Verdana"/>
        </w:rPr>
      </w:pPr>
    </w:p>
    <w:p w14:paraId="240BF66A" w14:textId="09297DA1" w:rsidR="0905302B" w:rsidRPr="007B7DAB" w:rsidRDefault="2E9C2167" w:rsidP="52ACCFFD">
      <w:pPr>
        <w:spacing w:line="264" w:lineRule="auto"/>
        <w:rPr>
          <w:rFonts w:ascii="Verdana" w:eastAsia="Segoe UI" w:hAnsi="Verdana" w:cs="Segoe UI"/>
          <w:color w:val="333333"/>
          <w:sz w:val="18"/>
          <w:szCs w:val="18"/>
        </w:rPr>
      </w:pPr>
      <w:r w:rsidRPr="52ACCFFD">
        <w:rPr>
          <w:rFonts w:ascii="Verdana" w:eastAsia="Verdana" w:hAnsi="Verdana" w:cs="Verdana"/>
          <w:b/>
          <w:bCs/>
          <w:color w:val="000000" w:themeColor="text1"/>
        </w:rPr>
        <w:t>Acknowledgement</w:t>
      </w:r>
      <w:r w:rsidR="007B3360" w:rsidRPr="52ACCFFD">
        <w:rPr>
          <w:rFonts w:ascii="Verdana" w:eastAsia="Verdana" w:hAnsi="Verdana" w:cs="Verdana"/>
          <w:b/>
          <w:bCs/>
          <w:color w:val="000000" w:themeColor="text1"/>
        </w:rPr>
        <w:t xml:space="preserve">: </w:t>
      </w:r>
      <w:r w:rsidRPr="52ACCFFD">
        <w:rPr>
          <w:rFonts w:ascii="Verdana" w:eastAsia="Verdana" w:hAnsi="Verdana" w:cs="Verdana"/>
          <w:color w:val="000000" w:themeColor="text1"/>
        </w:rPr>
        <w:t>This resource was written by Gerd Banke, Nayland School</w:t>
      </w:r>
      <w:r w:rsidR="0085786C" w:rsidRPr="52ACCFFD">
        <w:rPr>
          <w:rFonts w:ascii="Verdana" w:eastAsia="Verdana" w:hAnsi="Verdana" w:cs="Verdana"/>
          <w:color w:val="000000" w:themeColor="text1"/>
        </w:rPr>
        <w:t xml:space="preserve"> and</w:t>
      </w:r>
      <w:r w:rsidRPr="52ACCFFD">
        <w:rPr>
          <w:rFonts w:ascii="Verdana" w:eastAsia="Verdana" w:hAnsi="Verdana" w:cs="Verdana"/>
          <w:color w:val="000000" w:themeColor="text1"/>
        </w:rPr>
        <w:t xml:space="preserve"> is part of </w:t>
      </w:r>
      <w:hyperlink r:id="rId18" w:history="1">
        <w:r w:rsidRPr="00233B7E">
          <w:rPr>
            <w:rStyle w:val="Hyperlink"/>
            <w:rFonts w:ascii="Verdana" w:eastAsia="Verdana" w:hAnsi="Verdana" w:cs="Verdana"/>
          </w:rPr>
          <w:t>Kaitiakitanga o te moana – a context for learning</w:t>
        </w:r>
      </w:hyperlink>
      <w:r w:rsidRPr="52ACCFFD">
        <w:rPr>
          <w:rFonts w:ascii="Verdana" w:eastAsia="Verdana" w:hAnsi="Verdana" w:cs="Verdana"/>
          <w:color w:val="000000" w:themeColor="text1"/>
        </w:rPr>
        <w:t>.</w:t>
      </w:r>
      <w:r w:rsidRPr="52ACCFFD">
        <w:rPr>
          <w:rFonts w:ascii="Verdana" w:eastAsia="Segoe UI" w:hAnsi="Verdana" w:cs="Segoe UI"/>
          <w:color w:val="333333"/>
          <w:sz w:val="18"/>
          <w:szCs w:val="18"/>
        </w:rPr>
        <w:t xml:space="preserve"> </w:t>
      </w:r>
    </w:p>
    <w:sectPr w:rsidR="0905302B" w:rsidRPr="007B7DAB" w:rsidSect="007B7DAB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5BBD9" w14:textId="77777777" w:rsidR="00F83820" w:rsidRDefault="00F83820">
      <w:pPr>
        <w:spacing w:after="0" w:line="240" w:lineRule="auto"/>
      </w:pPr>
      <w:r>
        <w:separator/>
      </w:r>
    </w:p>
  </w:endnote>
  <w:endnote w:type="continuationSeparator" w:id="0">
    <w:p w14:paraId="3C18D59C" w14:textId="77777777" w:rsidR="00F83820" w:rsidRDefault="00F8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621074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sdt>
        <w:sdtPr>
          <w:id w:val="370355725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color w:val="000000" w:themeColor="text1"/>
            <w:sz w:val="18"/>
            <w:szCs w:val="18"/>
          </w:rPr>
        </w:sdtEndPr>
        <w:sdtContent>
          <w:p w14:paraId="7709CF42" w14:textId="77777777" w:rsidR="00925D95" w:rsidRPr="00F40121" w:rsidRDefault="00925D95" w:rsidP="00925D9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Verdana" w:hAnsi="Verdana"/>
                <w:color w:val="3366FF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2"/>
              <w:gridCol w:w="374"/>
            </w:tblGrid>
            <w:tr w:rsidR="00925D95" w14:paraId="59E23DD1" w14:textId="77777777" w:rsidTr="003914F9">
              <w:tc>
                <w:tcPr>
                  <w:tcW w:w="864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E610F89" w14:textId="77777777" w:rsidR="00925D95" w:rsidRPr="00F40121" w:rsidRDefault="52ACCFFD" w:rsidP="52ACCFFD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r w:rsidRPr="52ACCFFD">
                    <w:rPr>
                      <w:rFonts w:ascii="Verdana" w:hAnsi="Verdana"/>
                      <w:color w:val="3366FF"/>
                      <w:sz w:val="18"/>
                      <w:szCs w:val="18"/>
                    </w:rPr>
                    <w:t>© Copyright. Science Learning Hub – Pokapū Akoranga Pūtaiao, The University of Waikato.</w:t>
                  </w:r>
                  <w:r w:rsidR="00925D95">
                    <w:tab/>
                  </w:r>
                </w:p>
                <w:bookmarkStart w:id="1" w:name="_2et92p0" w:colFirst="0" w:colLast="0"/>
                <w:bookmarkEnd w:id="1"/>
                <w:p w14:paraId="7C9DDEA5" w14:textId="77777777" w:rsidR="00925D95" w:rsidRDefault="00925D95" w:rsidP="00925D95">
                  <w:pPr>
                    <w:tabs>
                      <w:tab w:val="center" w:pos="4320"/>
                      <w:tab w:val="right" w:pos="8640"/>
                    </w:tabs>
                    <w:ind w:right="360"/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  <w:fldChar w:fldCharType="begin"/>
                  </w:r>
                  <w:r w:rsidRPr="00F40121">
                    <w:rPr>
                      <w:rFonts w:ascii="Verdana" w:hAnsi="Verdana"/>
                      <w:sz w:val="18"/>
                      <w:szCs w:val="18"/>
                    </w:rPr>
                    <w:instrText>HYPERLINK "http://www.sciencelearn.org.nz" \h</w:instrText>
                  </w: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</w: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  <w:fldChar w:fldCharType="separate"/>
                  </w:r>
                  <w:r w:rsidRPr="00F40121">
                    <w:rPr>
                      <w:rFonts w:ascii="Verdana" w:hAnsi="Verdana"/>
                      <w:color w:val="0000FF"/>
                      <w:sz w:val="18"/>
                      <w:szCs w:val="18"/>
                      <w:u w:val="single"/>
                    </w:rPr>
                    <w:t>www.sciencelearn.org.nz</w:t>
                  </w:r>
                  <w:r w:rsidRPr="00F40121">
                    <w:rPr>
                      <w:rFonts w:ascii="Verdana" w:hAnsi="Verdana"/>
                      <w:color w:val="0000FF"/>
                      <w:sz w:val="18"/>
                      <w:szCs w:val="18"/>
                      <w:u w:val="single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37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F736503" w14:textId="77777777" w:rsidR="00925D95" w:rsidRPr="0067497E" w:rsidRDefault="00925D95" w:rsidP="00925D95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instrText xml:space="preserve"> PAGE   \* MERGEFORMAT </w:instrText>
                  </w: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>1</w:t>
                  </w:r>
                  <w:r w:rsidRPr="0067497E">
                    <w:rPr>
                      <w:rFonts w:ascii="Verdana" w:hAnsi="Verdana"/>
                      <w:noProof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  <w:p w14:paraId="18F714B6" w14:textId="77777777" w:rsidR="00925D95" w:rsidRPr="0067497E" w:rsidRDefault="00FF743A" w:rsidP="00925D95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</w:sdtContent>
      </w:sdt>
      <w:p w14:paraId="576A6180" w14:textId="77777777" w:rsidR="00925D95" w:rsidRPr="009C3A32" w:rsidRDefault="00925D95" w:rsidP="00925D95">
        <w:pPr>
          <w:spacing w:after="0" w:line="240" w:lineRule="auto"/>
          <w:rPr>
            <w:sz w:val="2"/>
            <w:szCs w:val="2"/>
          </w:rPr>
        </w:pPr>
      </w:p>
      <w:p w14:paraId="375DC946" w14:textId="272B5EE4" w:rsidR="43D26EA9" w:rsidRPr="00925D95" w:rsidRDefault="00FF743A" w:rsidP="007B7DAB">
        <w:pPr>
          <w:pStyle w:val="Footer"/>
          <w:jc w:val="center"/>
          <w:rPr>
            <w:rFonts w:ascii="Verdana" w:hAnsi="Verdana"/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A7E63" w14:textId="77777777" w:rsidR="00F83820" w:rsidRDefault="00F83820">
      <w:pPr>
        <w:spacing w:after="0" w:line="240" w:lineRule="auto"/>
      </w:pPr>
      <w:r>
        <w:separator/>
      </w:r>
    </w:p>
  </w:footnote>
  <w:footnote w:type="continuationSeparator" w:id="0">
    <w:p w14:paraId="358219A8" w14:textId="77777777" w:rsidR="00F83820" w:rsidRDefault="00F8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6748"/>
    </w:tblGrid>
    <w:tr w:rsidR="002A0D1F" w14:paraId="3D8DF64F" w14:textId="77777777" w:rsidTr="003914F9">
      <w:tc>
        <w:tcPr>
          <w:tcW w:w="2155" w:type="dxa"/>
          <w:tcBorders>
            <w:top w:val="single" w:sz="4" w:space="0" w:color="FFFFFF" w:themeColor="background1"/>
            <w:left w:val="nil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57E0500" w14:textId="5BF1654A" w:rsidR="002A0D1F" w:rsidRDefault="002A0D1F" w:rsidP="002A0D1F">
          <w:pPr>
            <w:tabs>
              <w:tab w:val="left" w:pos="2093"/>
            </w:tabs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bookmarkStart w:id="0" w:name="_Hlk190517759"/>
        </w:p>
      </w:tc>
      <w:tc>
        <w:tcPr>
          <w:tcW w:w="674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5E92B747" w14:textId="77777777" w:rsidR="002A0D1F" w:rsidRDefault="002A0D1F" w:rsidP="002A0D1F">
          <w:pPr>
            <w:tabs>
              <w:tab w:val="left" w:pos="2093"/>
            </w:tabs>
            <w:ind w:left="113"/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r w:rsidRPr="00F40121">
            <w:rPr>
              <w:rFonts w:ascii="Verdana" w:eastAsia="Verdana" w:hAnsi="Verdana" w:cs="Verdana"/>
              <w:color w:val="3366FF"/>
              <w:kern w:val="0"/>
              <w:sz w:val="20"/>
              <w:szCs w:val="20"/>
              <w:lang w:val="en-GB" w:eastAsia="ja-JP"/>
              <w14:ligatures w14:val="none"/>
            </w:rPr>
            <w:t>Kaitiakitanga o te moana – a context for learning</w:t>
          </w:r>
          <w:r w:rsidRPr="00F40121">
            <w:rPr>
              <w:rFonts w:eastAsia="Verdana" w:cs="Verdana"/>
              <w:color w:val="3366FF"/>
              <w:kern w:val="0"/>
              <w:sz w:val="20"/>
              <w:szCs w:val="20"/>
              <w:lang w:val="en-GB" w:eastAsia="ja-JP"/>
              <w14:ligatures w14:val="none"/>
            </w:rPr>
            <w:t/>
          </w:r>
        </w:p>
      </w:tc>
    </w:tr>
  </w:tbl>
  <w:bookmarkEnd w:id="0"/>
  <w:p w14:paraId="2CCB04F2" w14:textId="56C7BC8C" w:rsidR="002A0D1F" w:rsidRDefault="002A0D1F">
    <w:pPr>
      <w:pStyle w:val="Header"/>
    </w:pPr>
    <w:r w:rsidRPr="00F40121">
      <w:rPr>
        <w:rFonts w:ascii="Verdana" w:eastAsia="Verdana" w:hAnsi="Verdana" w:cs="Verdana"/>
        <w:noProof/>
        <w:color w:val="3366FF"/>
        <w:kern w:val="0"/>
        <w:sz w:val="20"/>
        <w:szCs w:val="20"/>
        <w:lang w:val="en-GB" w:eastAsia="ja-JP"/>
        <w14:ligatures w14:val="none"/>
      </w:rPr>
      <w:drawing>
        <wp:anchor distT="0" distB="0" distL="114300" distR="114300" simplePos="0" relativeHeight="251659264" behindDoc="0" locked="0" layoutInCell="1" allowOverlap="1" wp14:anchorId="32BD8374" wp14:editId="7C106000">
          <wp:simplePos x="0" y="0"/>
          <wp:positionH relativeFrom="column">
            <wp:posOffset>0</wp:posOffset>
          </wp:positionH>
          <wp:positionV relativeFrom="paragraph">
            <wp:posOffset>-342265</wp:posOffset>
          </wp:positionV>
          <wp:extent cx="1378800" cy="586800"/>
          <wp:effectExtent l="0" t="0" r="0" b="3810"/>
          <wp:wrapNone/>
          <wp:docPr id="162631652" name="image1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800" cy="58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7EEA"/>
    <w:multiLevelType w:val="hybridMultilevel"/>
    <w:tmpl w:val="3C5AB9B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ED3E8C"/>
    <w:multiLevelType w:val="hybridMultilevel"/>
    <w:tmpl w:val="DB20148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1981340">
    <w:abstractNumId w:val="0"/>
  </w:num>
  <w:num w:numId="2" w16cid:durableId="1726906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08"/>
    <w:rsid w:val="00026FBC"/>
    <w:rsid w:val="00094783"/>
    <w:rsid w:val="000B268B"/>
    <w:rsid w:val="00137650"/>
    <w:rsid w:val="00233B7E"/>
    <w:rsid w:val="002A0D1F"/>
    <w:rsid w:val="002B5D0B"/>
    <w:rsid w:val="00335408"/>
    <w:rsid w:val="003354FF"/>
    <w:rsid w:val="00375EB9"/>
    <w:rsid w:val="00383F65"/>
    <w:rsid w:val="003914F9"/>
    <w:rsid w:val="005456BB"/>
    <w:rsid w:val="005A013D"/>
    <w:rsid w:val="0061323F"/>
    <w:rsid w:val="006217D8"/>
    <w:rsid w:val="00666194"/>
    <w:rsid w:val="00700903"/>
    <w:rsid w:val="007946C9"/>
    <w:rsid w:val="007B3360"/>
    <w:rsid w:val="007B7DAB"/>
    <w:rsid w:val="0081187E"/>
    <w:rsid w:val="0085786C"/>
    <w:rsid w:val="00857EE9"/>
    <w:rsid w:val="00925D95"/>
    <w:rsid w:val="00926519"/>
    <w:rsid w:val="00960C1C"/>
    <w:rsid w:val="00B11314"/>
    <w:rsid w:val="00BB3F08"/>
    <w:rsid w:val="00BF2C05"/>
    <w:rsid w:val="00C64228"/>
    <w:rsid w:val="00C75303"/>
    <w:rsid w:val="00C76F0B"/>
    <w:rsid w:val="00CB0D8B"/>
    <w:rsid w:val="00DA308B"/>
    <w:rsid w:val="00E02B82"/>
    <w:rsid w:val="00E17DD5"/>
    <w:rsid w:val="00E26CAC"/>
    <w:rsid w:val="00F83820"/>
    <w:rsid w:val="00FC447B"/>
    <w:rsid w:val="0905302B"/>
    <w:rsid w:val="105F8C64"/>
    <w:rsid w:val="232B7B0F"/>
    <w:rsid w:val="2E9C2167"/>
    <w:rsid w:val="4094EDAD"/>
    <w:rsid w:val="42F6E890"/>
    <w:rsid w:val="43D26EA9"/>
    <w:rsid w:val="52ACC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CCDD3"/>
  <w15:chartTrackingRefBased/>
  <w15:docId w15:val="{632F3526-7A3D-418E-8A91-EC60EB3B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F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F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F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F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F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F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F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F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F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F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F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30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0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5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E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E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EB9"/>
    <w:rPr>
      <w:b/>
      <w:bCs/>
      <w:sz w:val="20"/>
      <w:szCs w:val="20"/>
    </w:rPr>
  </w:style>
  <w:style w:type="paragraph" w:styleId="Header">
    <w:name w:val="header"/>
    <w:basedOn w:val="Normal"/>
    <w:uiPriority w:val="99"/>
    <w:unhideWhenUsed/>
    <w:rsid w:val="43D26EA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43D26EA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76F0B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DAB"/>
  </w:style>
  <w:style w:type="character" w:styleId="FollowedHyperlink">
    <w:name w:val="FollowedHyperlink"/>
    <w:basedOn w:val="DefaultParagraphFont"/>
    <w:uiPriority w:val="99"/>
    <w:semiHidden/>
    <w:unhideWhenUsed/>
    <w:rsid w:val="00026FB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-tangata.co.nz/reo/taking-care-of-our-kupu/?fbclid=IwAR2CxyICbvpCUQpzNerzQT1e98KusdVVdJmS-Qf98G1JlwYCoYpJqVrxf9Q" TargetMode="External"/><Relationship Id="rId18" Type="http://schemas.openxmlformats.org/officeDocument/2006/relationships/hyperlink" Target="https://www.sciencelearn.org.nz/resources/3384-kaitiakitanga-o-te-moana-a-context-for-learnin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e-tangata.co.nz" TargetMode="External"/><Relationship Id="rId17" Type="http://schemas.openxmlformats.org/officeDocument/2006/relationships/hyperlink" Target="https://e-tangata.co.nz/reo/taking-care-of-our-kupu/?fbclid=IwAR2CxyICbvpCUQpzNerzQT1e98KusdVVdJmS-Qf98G1JlwYCoYpJqVrxf9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ciencelearn.org.nz/glossar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-tangata.co.nz/reo/taking-care-of-our-kupu/?fbclid=IwAR2CxyICbvpCUQpzNerzQT1e98KusdVVdJmS-Qf98G1JlwYCoYpJqVrxf9Q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ara.govt.nz/en/kaitiakitanga-guardianship-and-conservation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aoridictionary.co.nz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98048418244CA28177D6A12BD030" ma:contentTypeVersion="15" ma:contentTypeDescription="Create a new document." ma:contentTypeScope="" ma:versionID="5451cc7f844b4f9382d07c734e806dda">
  <xsd:schema xmlns:xsd="http://www.w3.org/2001/XMLSchema" xmlns:xs="http://www.w3.org/2001/XMLSchema" xmlns:p="http://schemas.microsoft.com/office/2006/metadata/properties" xmlns:ns2="d3f96774-ed5c-4303-bb3c-88d5d8414a6a" xmlns:ns3="0335ee8f-960b-4792-93e9-b2b8f8bfecae" targetNamespace="http://schemas.microsoft.com/office/2006/metadata/properties" ma:root="true" ma:fieldsID="9e9ff5c21a64d37fb7a20e1be043fcfa" ns2:_="" ns3:_="">
    <xsd:import namespace="d3f96774-ed5c-4303-bb3c-88d5d8414a6a"/>
    <xsd:import namespace="0335ee8f-960b-4792-93e9-b2b8f8bf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6774-ed5c-4303-bb3c-88d5d841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e8f-960b-4792-93e9-b2b8f8bfec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720cf7-d7e3-4829-aa8c-91d70288c061}" ma:internalName="TaxCatchAll" ma:showField="CatchAllData" ma:web="0335ee8f-960b-4792-93e9-b2b8f8bf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5ee8f-960b-4792-93e9-b2b8f8bfecae" xsi:nil="true"/>
    <lcf76f155ced4ddcb4097134ff3c332f xmlns="d3f96774-ed5c-4303-bb3c-88d5d8414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029D6F-8C45-4665-9460-6EEF5E047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22F29-D23F-4B5E-B935-CFF6F34D1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96774-ed5c-4303-bb3c-88d5d8414a6a"/>
    <ds:schemaRef ds:uri="0335ee8f-960b-4792-93e9-b2b8f8bf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B6A62-394C-48D8-9686-48C1959DBE0D}">
  <ds:schemaRefs>
    <ds:schemaRef ds:uri="http://schemas.microsoft.com/office/2006/metadata/properties"/>
    <ds:schemaRef ds:uri="http://schemas.microsoft.com/office/infopath/2007/PartnerControls"/>
    <ds:schemaRef ds:uri="0335ee8f-960b-4792-93e9-b2b8f8bfecae"/>
    <ds:schemaRef ds:uri="d3f96774-ed5c-4303-bb3c-88d5d8414a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Taking care of our kupu</dc:title>
  <dc:subject/>
  <dc:creator>Science Learning Hub – Pokapū Akoranga Pūtaiao, The University of Waikato Te Whare Wānanga o Waikato</dc:creator>
  <cp:keywords/>
  <dc:description/>
  <cp:lastModifiedBy>Vanya Bootham</cp:lastModifiedBy>
  <cp:revision>2</cp:revision>
  <dcterms:created xsi:type="dcterms:W3CDTF">2025-03-21T01:22:00Z</dcterms:created>
  <dcterms:modified xsi:type="dcterms:W3CDTF">2025-03-21T01:22:00Z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0x010100555F98048418244CA28177D6A12BD030</vt:lpwstr>
  </property>
  <property fmtid="{D5CDD505-2E9C-101B-9397-08002B2CF9AE}" pid="3" name="MediaServiceImageTags">
    <vt:lpwstr/>
  </property>
</Properties>
</file>