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AFD3E" w14:textId="321C96B5" w:rsidR="007946C9" w:rsidRPr="0059759F" w:rsidRDefault="00D339B6" w:rsidP="0059759F">
      <w:pPr>
        <w:spacing w:line="264" w:lineRule="auto"/>
        <w:rPr>
          <w:rFonts w:ascii="Verdana" w:hAnsi="Verdana"/>
          <w:b/>
          <w:bCs/>
          <w:color w:val="E97132" w:themeColor="accent2"/>
          <w:sz w:val="36"/>
          <w:szCs w:val="36"/>
        </w:rPr>
      </w:pPr>
      <w:r w:rsidRPr="0059759F">
        <w:rPr>
          <w:rFonts w:ascii="Verdana" w:hAnsi="Verdana"/>
          <w:b/>
          <w:bCs/>
          <w:color w:val="E97132" w:themeColor="accent2"/>
          <w:sz w:val="36"/>
          <w:szCs w:val="36"/>
        </w:rPr>
        <w:t>DNA as taonga</w:t>
      </w:r>
    </w:p>
    <w:p w14:paraId="25379F88" w14:textId="359A2E1F" w:rsidR="00D339B6" w:rsidRPr="0059759F" w:rsidRDefault="00D339B6" w:rsidP="0059759F">
      <w:pPr>
        <w:spacing w:line="264" w:lineRule="auto"/>
        <w:rPr>
          <w:rFonts w:ascii="Verdana" w:hAnsi="Verdana"/>
          <w:b/>
          <w:bCs/>
          <w:color w:val="E97132" w:themeColor="accent2"/>
          <w:sz w:val="28"/>
          <w:szCs w:val="28"/>
        </w:rPr>
      </w:pPr>
      <w:r w:rsidRPr="0059759F">
        <w:rPr>
          <w:rFonts w:ascii="Verdana" w:hAnsi="Verdana"/>
          <w:b/>
          <w:bCs/>
          <w:color w:val="E97132" w:themeColor="accent2"/>
          <w:sz w:val="28"/>
          <w:szCs w:val="28"/>
        </w:rPr>
        <w:t>Ako: Learn about DNA and inheritance</w:t>
      </w:r>
    </w:p>
    <w:p w14:paraId="263E2D8A" w14:textId="05DBC49B" w:rsidR="00D339B6" w:rsidRPr="0059759F" w:rsidRDefault="00D339B6" w:rsidP="0059759F">
      <w:pPr>
        <w:spacing w:line="264" w:lineRule="auto"/>
        <w:rPr>
          <w:rFonts w:ascii="Verdana" w:hAnsi="Verdana"/>
          <w:b/>
          <w:bCs/>
          <w:color w:val="E97132" w:themeColor="accent2"/>
          <w:sz w:val="28"/>
          <w:szCs w:val="28"/>
        </w:rPr>
      </w:pPr>
      <w:r w:rsidRPr="2F6BBC19">
        <w:rPr>
          <w:rFonts w:ascii="Verdana" w:hAnsi="Verdana"/>
          <w:b/>
          <w:bCs/>
          <w:color w:val="E97132" w:themeColor="accent2"/>
          <w:sz w:val="28"/>
          <w:szCs w:val="28"/>
        </w:rPr>
        <w:t>Hua: I understand that some DNA is considered a taonga and requires tikanga when handled</w:t>
      </w:r>
    </w:p>
    <w:p w14:paraId="39A55CAB" w14:textId="77777777" w:rsidR="0059759F" w:rsidRPr="0059759F" w:rsidRDefault="1CB815CC" w:rsidP="0059759F">
      <w:pPr>
        <w:spacing w:line="264" w:lineRule="auto"/>
        <w:rPr>
          <w:rFonts w:ascii="Verdana" w:hAnsi="Verdana"/>
        </w:rPr>
      </w:pPr>
      <w:r w:rsidRPr="0059759F">
        <w:rPr>
          <w:rFonts w:ascii="Verdana" w:hAnsi="Verdana"/>
          <w:noProof/>
        </w:rPr>
        <w:drawing>
          <wp:inline distT="0" distB="0" distL="0" distR="0" wp14:anchorId="5D1F80E0" wp14:editId="6EDE7B18">
            <wp:extent cx="5724524" cy="3009900"/>
            <wp:effectExtent l="0" t="0" r="0" b="0"/>
            <wp:docPr id="1911583488" name="Picture 191158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4" cy="3009900"/>
                    </a:xfrm>
                    <a:prstGeom prst="rect">
                      <a:avLst/>
                    </a:prstGeom>
                  </pic:spPr>
                </pic:pic>
              </a:graphicData>
            </a:graphic>
          </wp:inline>
        </w:drawing>
      </w:r>
    </w:p>
    <w:p w14:paraId="432E06A5" w14:textId="58F49282" w:rsidR="00D339B6" w:rsidRPr="0059759F" w:rsidRDefault="00D339B6" w:rsidP="0059759F">
      <w:pPr>
        <w:spacing w:line="264" w:lineRule="auto"/>
        <w:rPr>
          <w:rFonts w:ascii="Verdana" w:hAnsi="Verdana"/>
          <w:b/>
          <w:bCs/>
          <w:color w:val="E97132" w:themeColor="accent2"/>
          <w:sz w:val="28"/>
          <w:szCs w:val="28"/>
        </w:rPr>
      </w:pPr>
      <w:r w:rsidRPr="0059759F">
        <w:rPr>
          <w:rFonts w:ascii="Verdana" w:hAnsi="Verdana"/>
          <w:b/>
          <w:bCs/>
          <w:color w:val="E97132" w:themeColor="accent2"/>
          <w:sz w:val="28"/>
          <w:szCs w:val="28"/>
        </w:rPr>
        <w:t>Mahi:</w:t>
      </w:r>
    </w:p>
    <w:p w14:paraId="0E368892" w14:textId="7CEA8567" w:rsidR="00D339B6" w:rsidRPr="0059759F" w:rsidRDefault="00A261D4" w:rsidP="2F6BBC19">
      <w:pPr>
        <w:spacing w:line="264" w:lineRule="auto"/>
        <w:rPr>
          <w:rFonts w:ascii="Verdana" w:hAnsi="Verdana"/>
        </w:rPr>
      </w:pPr>
      <w:r w:rsidRPr="2F6BBC19">
        <w:rPr>
          <w:rFonts w:ascii="Verdana" w:hAnsi="Verdana"/>
        </w:rPr>
        <w:t>Read t</w:t>
      </w:r>
      <w:r w:rsidR="00D339B6" w:rsidRPr="2F6BBC19">
        <w:rPr>
          <w:rFonts w:ascii="Verdana" w:hAnsi="Verdana"/>
        </w:rPr>
        <w:t>he</w:t>
      </w:r>
      <w:r w:rsidR="00FE3F6B" w:rsidRPr="2F6BBC19">
        <w:rPr>
          <w:rFonts w:ascii="Verdana" w:hAnsi="Verdana"/>
        </w:rPr>
        <w:t>se</w:t>
      </w:r>
      <w:r w:rsidR="00D339B6" w:rsidRPr="2F6BBC19">
        <w:rPr>
          <w:rFonts w:ascii="Verdana" w:hAnsi="Verdana"/>
        </w:rPr>
        <w:t xml:space="preserve"> terms from the Science Learning Hub article </w:t>
      </w:r>
      <w:hyperlink r:id="rId12">
        <w:r w:rsidR="00D339B6" w:rsidRPr="2F6BBC19">
          <w:rPr>
            <w:rStyle w:val="Hyperlink"/>
            <w:rFonts w:ascii="Verdana" w:hAnsi="Verdana"/>
          </w:rPr>
          <w:t>RNA interference – key terms</w:t>
        </w:r>
      </w:hyperlink>
      <w:r w:rsidR="00D339B6" w:rsidRPr="2F6BBC19">
        <w:rPr>
          <w:rFonts w:ascii="Verdana" w:hAnsi="Verdana"/>
        </w:rPr>
        <w:t>. The</w:t>
      </w:r>
      <w:r w:rsidR="00FE3F6B" w:rsidRPr="2F6BBC19">
        <w:rPr>
          <w:rFonts w:ascii="Verdana" w:hAnsi="Verdana"/>
        </w:rPr>
        <w:t>y</w:t>
      </w:r>
      <w:r w:rsidR="00D339B6" w:rsidRPr="2F6BBC19">
        <w:rPr>
          <w:rFonts w:ascii="Verdana" w:hAnsi="Verdana"/>
        </w:rPr>
        <w:t xml:space="preserve"> expla</w:t>
      </w:r>
      <w:r w:rsidR="00FE3F6B" w:rsidRPr="2F6BBC19">
        <w:rPr>
          <w:rFonts w:ascii="Verdana" w:hAnsi="Verdana"/>
        </w:rPr>
        <w:t>i</w:t>
      </w:r>
      <w:r w:rsidR="00D339B6" w:rsidRPr="2F6BBC19">
        <w:rPr>
          <w:rFonts w:ascii="Verdana" w:hAnsi="Verdana"/>
        </w:rPr>
        <w:t xml:space="preserve">n ao Māori concepts </w:t>
      </w:r>
      <w:r w:rsidRPr="2F6BBC19">
        <w:rPr>
          <w:rFonts w:ascii="Verdana" w:hAnsi="Verdana"/>
        </w:rPr>
        <w:t>regarding genetics</w:t>
      </w:r>
      <w:r w:rsidR="00D339B6" w:rsidRPr="2F6BBC19">
        <w:rPr>
          <w:rFonts w:ascii="Verdana" w:hAnsi="Verdana"/>
        </w:rPr>
        <w:t>.</w:t>
      </w:r>
    </w:p>
    <w:p w14:paraId="6203D86C" w14:textId="72F56362" w:rsidR="00D339B6" w:rsidRPr="0059759F" w:rsidRDefault="00D339B6" w:rsidP="2F6BBC19">
      <w:pPr>
        <w:spacing w:line="264" w:lineRule="auto"/>
        <w:rPr>
          <w:rFonts w:ascii="Verdana" w:hAnsi="Verdana"/>
        </w:rPr>
      </w:pPr>
      <w:r w:rsidRPr="2F6BBC19">
        <w:rPr>
          <w:rFonts w:ascii="Verdana" w:hAnsi="Verdana"/>
          <w:b/>
          <w:bCs/>
        </w:rPr>
        <w:t>Ira tangata</w:t>
      </w:r>
      <w:r w:rsidR="00FE3F6B" w:rsidRPr="2F6BBC19">
        <w:rPr>
          <w:rFonts w:ascii="Verdana" w:hAnsi="Verdana"/>
          <w:b/>
          <w:bCs/>
        </w:rPr>
        <w:t xml:space="preserve">: </w:t>
      </w:r>
      <w:r w:rsidRPr="2F6BBC19">
        <w:rPr>
          <w:rFonts w:ascii="Verdana" w:hAnsi="Verdana"/>
        </w:rPr>
        <w:t>Ira is the life force or genes that exist within all living beings. Ira tangata represents the human life force element inherited from the parental generation through genes. Genes hold more than just biological significance – they possess a spiritual quality that enables Māori to establish a connection with the atua (Māori gods). Through whakapapa, Māori can trace the descent of living beings, including themselves, back to the Atua.</w:t>
      </w:r>
    </w:p>
    <w:p w14:paraId="5A12CEC1" w14:textId="23DB8230" w:rsidR="00D339B6" w:rsidRPr="0059759F" w:rsidRDefault="00D339B6" w:rsidP="2F6BBC19">
      <w:pPr>
        <w:spacing w:line="264" w:lineRule="auto"/>
        <w:rPr>
          <w:rFonts w:ascii="Verdana" w:hAnsi="Verdana"/>
        </w:rPr>
      </w:pPr>
      <w:r w:rsidRPr="2F6BBC19">
        <w:rPr>
          <w:rFonts w:ascii="Verdana" w:hAnsi="Verdana"/>
          <w:b/>
          <w:bCs/>
        </w:rPr>
        <w:t>Kaitiakitanga</w:t>
      </w:r>
      <w:r w:rsidR="00FE3F6B" w:rsidRPr="2F6BBC19">
        <w:rPr>
          <w:rFonts w:ascii="Verdana" w:hAnsi="Verdana"/>
          <w:b/>
          <w:bCs/>
        </w:rPr>
        <w:t xml:space="preserve">: </w:t>
      </w:r>
      <w:r w:rsidRPr="2F6BBC19">
        <w:rPr>
          <w:rFonts w:ascii="Verdana" w:hAnsi="Verdana"/>
        </w:rPr>
        <w:t>Referred to as guardianship. This is particularly relevant when taonga species are involved as it describes the responsibility to care for and manage these species in a reciprocal nature. Researchers also have a responsibility to identify and engage with the appropriate kaitiaki or representatives who can make decisions on behalf of the taonga.</w:t>
      </w:r>
    </w:p>
    <w:p w14:paraId="4C562CB6" w14:textId="7066CFFC" w:rsidR="00D339B6" w:rsidRPr="0059759F" w:rsidRDefault="00D339B6" w:rsidP="2F6BBC19">
      <w:pPr>
        <w:spacing w:line="264" w:lineRule="auto"/>
        <w:rPr>
          <w:rFonts w:ascii="Verdana" w:hAnsi="Verdana"/>
        </w:rPr>
      </w:pPr>
      <w:r w:rsidRPr="2F6BBC19">
        <w:rPr>
          <w:rFonts w:ascii="Verdana" w:hAnsi="Verdana"/>
          <w:b/>
          <w:bCs/>
        </w:rPr>
        <w:t>Mana</w:t>
      </w:r>
      <w:r w:rsidR="00FE3F6B" w:rsidRPr="2F6BBC19">
        <w:rPr>
          <w:rFonts w:ascii="Verdana" w:hAnsi="Verdana"/>
          <w:b/>
          <w:bCs/>
        </w:rPr>
        <w:t xml:space="preserve">: </w:t>
      </w:r>
      <w:r w:rsidRPr="2F6BBC19">
        <w:rPr>
          <w:rFonts w:ascii="Verdana" w:hAnsi="Verdana"/>
        </w:rPr>
        <w:t xml:space="preserve">The authority and power that exists within all living beings. It is closely linked with the concept of </w:t>
      </w:r>
      <w:proofErr w:type="spellStart"/>
      <w:r w:rsidRPr="2F6BBC19">
        <w:rPr>
          <w:rFonts w:ascii="Verdana" w:hAnsi="Verdana"/>
        </w:rPr>
        <w:t>tapu</w:t>
      </w:r>
      <w:proofErr w:type="spellEnd"/>
      <w:r w:rsidRPr="2F6BBC19">
        <w:rPr>
          <w:rFonts w:ascii="Verdana" w:hAnsi="Verdana"/>
        </w:rPr>
        <w:t xml:space="preserve"> </w:t>
      </w:r>
      <w:proofErr w:type="gramStart"/>
      <w:r w:rsidRPr="2F6BBC19">
        <w:rPr>
          <w:rFonts w:ascii="Verdana" w:hAnsi="Verdana"/>
        </w:rPr>
        <w:t>and also</w:t>
      </w:r>
      <w:proofErr w:type="gramEnd"/>
      <w:r w:rsidRPr="2F6BBC19">
        <w:rPr>
          <w:rFonts w:ascii="Verdana" w:hAnsi="Verdana"/>
        </w:rPr>
        <w:t xml:space="preserve"> relates to levels of control by Māori and their responsibilities for decision making in relation to taonga.</w:t>
      </w:r>
    </w:p>
    <w:p w14:paraId="38B72FD4" w14:textId="098E28F5" w:rsidR="00D339B6" w:rsidRPr="0059759F" w:rsidRDefault="00D339B6" w:rsidP="0059759F">
      <w:pPr>
        <w:spacing w:line="264" w:lineRule="auto"/>
        <w:rPr>
          <w:rFonts w:ascii="Verdana" w:hAnsi="Verdana"/>
        </w:rPr>
      </w:pPr>
      <w:r w:rsidRPr="2F6BBC19">
        <w:rPr>
          <w:rFonts w:ascii="Verdana" w:hAnsi="Verdana"/>
          <w:b/>
          <w:bCs/>
        </w:rPr>
        <w:lastRenderedPageBreak/>
        <w:t>Mauri</w:t>
      </w:r>
      <w:r w:rsidR="00FE3F6B" w:rsidRPr="2F6BBC19">
        <w:rPr>
          <w:rFonts w:ascii="Verdana" w:hAnsi="Verdana"/>
          <w:b/>
          <w:bCs/>
        </w:rPr>
        <w:t xml:space="preserve">: </w:t>
      </w:r>
      <w:r w:rsidRPr="2F6BBC19">
        <w:rPr>
          <w:rFonts w:ascii="Verdana" w:hAnsi="Verdana"/>
        </w:rPr>
        <w:t xml:space="preserve">This refers to the vital life essence found in everything, giving them an energy whether they are living or non-living. Preserving the mauri of an organism or system is important as it ensures the natural balance and wellbeing are upheld. Even the smallest biological parts, like the microbiome and bioactivity, have their own mauri. </w:t>
      </w:r>
    </w:p>
    <w:p w14:paraId="5A216936" w14:textId="3E68B7B3" w:rsidR="00D339B6" w:rsidRPr="0059759F" w:rsidRDefault="00D339B6" w:rsidP="0059759F">
      <w:pPr>
        <w:spacing w:line="264" w:lineRule="auto"/>
        <w:rPr>
          <w:rFonts w:ascii="Verdana" w:hAnsi="Verdana"/>
        </w:rPr>
      </w:pPr>
      <w:r w:rsidRPr="2F6BBC19">
        <w:rPr>
          <w:rFonts w:ascii="Verdana" w:hAnsi="Verdana"/>
          <w:b/>
          <w:bCs/>
        </w:rPr>
        <w:t>Rangatiratanga</w:t>
      </w:r>
      <w:r w:rsidR="00FE3F6B" w:rsidRPr="2F6BBC19">
        <w:rPr>
          <w:rFonts w:ascii="Verdana" w:hAnsi="Verdana"/>
          <w:b/>
          <w:bCs/>
        </w:rPr>
        <w:t xml:space="preserve">: </w:t>
      </w:r>
      <w:r w:rsidRPr="2F6BBC19">
        <w:rPr>
          <w:rFonts w:ascii="Verdana" w:hAnsi="Verdana"/>
        </w:rPr>
        <w:t>This can be referred to as self-determination or autonomy. Rangatiratanga should go beyond simply acknowledging Māori authority and should also emphasise the importance of inclusive processes that ensure Māori perspectives and voices are genuinely considered in decision making at various stages or levels in shaping the use of genetic technologies.</w:t>
      </w:r>
    </w:p>
    <w:p w14:paraId="0DE43B3D" w14:textId="3059B099" w:rsidR="00D339B6" w:rsidRPr="0059759F" w:rsidRDefault="00D339B6" w:rsidP="2F6BBC19">
      <w:pPr>
        <w:spacing w:line="264" w:lineRule="auto"/>
        <w:rPr>
          <w:rFonts w:ascii="Verdana" w:hAnsi="Verdana"/>
        </w:rPr>
      </w:pPr>
      <w:r w:rsidRPr="2F6BBC19">
        <w:rPr>
          <w:rFonts w:ascii="Verdana" w:hAnsi="Verdana"/>
          <w:b/>
          <w:bCs/>
        </w:rPr>
        <w:t>Taonga</w:t>
      </w:r>
      <w:r w:rsidR="00FE3F6B" w:rsidRPr="2F6BBC19">
        <w:rPr>
          <w:rFonts w:ascii="Verdana" w:hAnsi="Verdana"/>
          <w:b/>
          <w:bCs/>
        </w:rPr>
        <w:t xml:space="preserve">: </w:t>
      </w:r>
      <w:r w:rsidRPr="2F6BBC19">
        <w:rPr>
          <w:rFonts w:ascii="Verdana" w:hAnsi="Verdana"/>
        </w:rPr>
        <w:t xml:space="preserve">Describes something of great significance or value and should be carefully preserved to maintain its integrity while also respecting the </w:t>
      </w:r>
      <w:proofErr w:type="spellStart"/>
      <w:r w:rsidRPr="2F6BBC19">
        <w:rPr>
          <w:rFonts w:ascii="Verdana" w:hAnsi="Verdana"/>
        </w:rPr>
        <w:t>tapu</w:t>
      </w:r>
      <w:proofErr w:type="spellEnd"/>
      <w:r w:rsidRPr="2F6BBC19">
        <w:rPr>
          <w:rFonts w:ascii="Verdana" w:hAnsi="Verdana"/>
        </w:rPr>
        <w:t xml:space="preserve"> (sacredness) it holds. Taonga can be abstract and extends to biological materials such as tissue samples, DNA and associated data.</w:t>
      </w:r>
    </w:p>
    <w:p w14:paraId="40CF5775" w14:textId="3FCAC66D" w:rsidR="00D339B6" w:rsidRPr="0059759F" w:rsidRDefault="00D339B6" w:rsidP="2F6BBC19">
      <w:pPr>
        <w:spacing w:line="264" w:lineRule="auto"/>
        <w:rPr>
          <w:rFonts w:ascii="Verdana" w:hAnsi="Verdana"/>
        </w:rPr>
      </w:pPr>
      <w:r w:rsidRPr="2F6BBC19">
        <w:rPr>
          <w:rFonts w:ascii="Verdana" w:hAnsi="Verdana"/>
          <w:b/>
          <w:bCs/>
        </w:rPr>
        <w:t>Tikanga</w:t>
      </w:r>
      <w:r w:rsidR="00FE3F6B" w:rsidRPr="2F6BBC19">
        <w:rPr>
          <w:rFonts w:ascii="Verdana" w:hAnsi="Verdana"/>
          <w:b/>
          <w:bCs/>
        </w:rPr>
        <w:t xml:space="preserve">: </w:t>
      </w:r>
      <w:r w:rsidRPr="2F6BBC19">
        <w:rPr>
          <w:rFonts w:ascii="Verdana" w:hAnsi="Verdana"/>
        </w:rPr>
        <w:t>Encompasses Māori customs and protocols. Tikanga helps guide ethical decision making by providing specific protocols and processes that uphold people’s values and principles. It serves as a framework for Māori to actively engage with ethical issues and consider how research may impact their values and relationships.</w:t>
      </w:r>
    </w:p>
    <w:p w14:paraId="70B42C59" w14:textId="3D470313" w:rsidR="00D339B6" w:rsidRPr="0059759F" w:rsidRDefault="00D339B6" w:rsidP="2F6BBC19">
      <w:pPr>
        <w:spacing w:line="264" w:lineRule="auto"/>
        <w:rPr>
          <w:rFonts w:ascii="Verdana" w:hAnsi="Verdana"/>
        </w:rPr>
      </w:pPr>
      <w:r w:rsidRPr="2F6BBC19">
        <w:rPr>
          <w:rFonts w:ascii="Verdana" w:hAnsi="Verdana"/>
          <w:b/>
          <w:bCs/>
        </w:rPr>
        <w:t>Whakapapa</w:t>
      </w:r>
      <w:r w:rsidR="00FE3F6B" w:rsidRPr="2F6BBC19">
        <w:rPr>
          <w:rFonts w:ascii="Verdana" w:hAnsi="Verdana"/>
          <w:b/>
          <w:bCs/>
        </w:rPr>
        <w:t xml:space="preserve">: </w:t>
      </w:r>
      <w:r w:rsidRPr="2F6BBC19">
        <w:rPr>
          <w:rFonts w:ascii="Verdana" w:hAnsi="Verdana"/>
        </w:rPr>
        <w:t>Whakapapa is embodied in the DNA of organisms where the protection of whakapapa is crucial for Māori and the inherent responsibility in ensuring it remains intact for the survival of future generations.</w:t>
      </w:r>
    </w:p>
    <w:p w14:paraId="716C727D" w14:textId="27577F3F" w:rsidR="00825668" w:rsidRPr="0059759F" w:rsidRDefault="00E03668" w:rsidP="0059759F">
      <w:pPr>
        <w:spacing w:line="264" w:lineRule="auto"/>
        <w:rPr>
          <w:rFonts w:ascii="Verdana" w:hAnsi="Verdana"/>
        </w:rPr>
      </w:pPr>
      <w:hyperlink r:id="rId13">
        <w:r w:rsidRPr="2F6BBC19">
          <w:rPr>
            <w:rStyle w:val="Hyperlink"/>
            <w:rFonts w:ascii="Verdana" w:hAnsi="Verdana"/>
          </w:rPr>
          <w:t xml:space="preserve">Te </w:t>
        </w:r>
        <w:proofErr w:type="spellStart"/>
        <w:r w:rsidRPr="2F6BBC19">
          <w:rPr>
            <w:rStyle w:val="Hyperlink"/>
            <w:rFonts w:ascii="Verdana" w:hAnsi="Verdana"/>
          </w:rPr>
          <w:t>Nohonga</w:t>
        </w:r>
        <w:proofErr w:type="spellEnd"/>
        <w:r w:rsidRPr="2F6BBC19">
          <w:rPr>
            <w:rStyle w:val="Hyperlink"/>
            <w:rFonts w:ascii="Verdana" w:hAnsi="Verdana"/>
          </w:rPr>
          <w:t xml:space="preserve"> Kaitiaki – Guidelines for Genomic Research of Taonga Species</w:t>
        </w:r>
      </w:hyperlink>
      <w:r w:rsidR="00825668" w:rsidRPr="2F6BBC19">
        <w:rPr>
          <w:rFonts w:ascii="Verdana" w:hAnsi="Verdana"/>
        </w:rPr>
        <w:t xml:space="preserve"> </w:t>
      </w:r>
      <w:r w:rsidR="007D6F84" w:rsidRPr="2F6BBC19">
        <w:rPr>
          <w:rFonts w:ascii="Verdana" w:hAnsi="Verdana"/>
        </w:rPr>
        <w:t>gives</w:t>
      </w:r>
      <w:r w:rsidR="00825668" w:rsidRPr="2F6BBC19">
        <w:rPr>
          <w:rFonts w:ascii="Verdana" w:hAnsi="Verdana"/>
        </w:rPr>
        <w:t xml:space="preserve"> three guiding principles to </w:t>
      </w:r>
      <w:r w:rsidR="006417CC" w:rsidRPr="2F6BBC19">
        <w:rPr>
          <w:rFonts w:ascii="Verdana" w:hAnsi="Verdana"/>
        </w:rPr>
        <w:t>inform</w:t>
      </w:r>
      <w:r w:rsidR="00825668" w:rsidRPr="2F6BBC19">
        <w:rPr>
          <w:rFonts w:ascii="Verdana" w:hAnsi="Verdana"/>
        </w:rPr>
        <w:t xml:space="preserve"> thinking </w:t>
      </w:r>
      <w:r w:rsidR="007D6F84" w:rsidRPr="2F6BBC19">
        <w:rPr>
          <w:rFonts w:ascii="Verdana" w:hAnsi="Verdana"/>
        </w:rPr>
        <w:t xml:space="preserve">about </w:t>
      </w:r>
      <w:r w:rsidR="00825668" w:rsidRPr="2F6BBC19">
        <w:rPr>
          <w:rFonts w:ascii="Verdana" w:hAnsi="Verdana"/>
        </w:rPr>
        <w:t>genomic research:</w:t>
      </w:r>
    </w:p>
    <w:p w14:paraId="18552FD5" w14:textId="73CB8A3F" w:rsidR="00E03668" w:rsidRPr="0059759F" w:rsidRDefault="00E03668" w:rsidP="2F6BBC19">
      <w:pPr>
        <w:pStyle w:val="ListParagraph"/>
        <w:numPr>
          <w:ilvl w:val="0"/>
          <w:numId w:val="1"/>
        </w:numPr>
        <w:spacing w:line="264" w:lineRule="auto"/>
        <w:ind w:left="567" w:hanging="567"/>
        <w:rPr>
          <w:rFonts w:ascii="Verdana" w:hAnsi="Verdana"/>
        </w:rPr>
      </w:pPr>
      <w:r w:rsidRPr="2F6BBC19">
        <w:rPr>
          <w:rFonts w:ascii="Verdana" w:hAnsi="Verdana"/>
        </w:rPr>
        <w:t xml:space="preserve">Kia tau te </w:t>
      </w:r>
      <w:proofErr w:type="spellStart"/>
      <w:r w:rsidRPr="2F6BBC19">
        <w:rPr>
          <w:rFonts w:ascii="Verdana" w:hAnsi="Verdana"/>
        </w:rPr>
        <w:t>wairua</w:t>
      </w:r>
      <w:proofErr w:type="spellEnd"/>
      <w:r w:rsidRPr="2F6BBC19">
        <w:rPr>
          <w:rFonts w:ascii="Verdana" w:hAnsi="Verdana"/>
        </w:rPr>
        <w:t xml:space="preserve"> o te tangata – </w:t>
      </w:r>
      <w:r w:rsidR="0033545A" w:rsidRPr="2F6BBC19">
        <w:rPr>
          <w:rFonts w:ascii="Verdana" w:hAnsi="Verdana"/>
        </w:rPr>
        <w:t>a</w:t>
      </w:r>
      <w:r w:rsidRPr="2F6BBC19">
        <w:rPr>
          <w:rFonts w:ascii="Verdana" w:hAnsi="Verdana"/>
        </w:rPr>
        <w:t xml:space="preserve">cknowledge the spirit in which a taonga is shared and used. </w:t>
      </w:r>
    </w:p>
    <w:p w14:paraId="681883FE" w14:textId="6E6E71E2" w:rsidR="00E03668" w:rsidRPr="0059759F" w:rsidRDefault="00E03668" w:rsidP="2F6BBC19">
      <w:pPr>
        <w:pStyle w:val="ListParagraph"/>
        <w:numPr>
          <w:ilvl w:val="0"/>
          <w:numId w:val="1"/>
        </w:numPr>
        <w:spacing w:line="264" w:lineRule="auto"/>
        <w:ind w:left="567" w:hanging="567"/>
        <w:rPr>
          <w:rFonts w:ascii="Verdana" w:hAnsi="Verdana"/>
        </w:rPr>
      </w:pPr>
      <w:r w:rsidRPr="2F6BBC19">
        <w:rPr>
          <w:rFonts w:ascii="Verdana" w:hAnsi="Verdana"/>
        </w:rPr>
        <w:t xml:space="preserve">Kia </w:t>
      </w:r>
      <w:proofErr w:type="spellStart"/>
      <w:r w:rsidR="3B8F7B38" w:rsidRPr="2F6BBC19">
        <w:rPr>
          <w:rFonts w:ascii="Verdana" w:hAnsi="Verdana"/>
        </w:rPr>
        <w:t>pūmau</w:t>
      </w:r>
      <w:proofErr w:type="spellEnd"/>
      <w:r w:rsidRPr="2F6BBC19">
        <w:rPr>
          <w:rFonts w:ascii="Verdana" w:hAnsi="Verdana"/>
        </w:rPr>
        <w:t xml:space="preserve"> te mana o te tangata </w:t>
      </w:r>
      <w:r w:rsidRPr="2F6BBC19">
        <w:rPr>
          <w:rFonts w:ascii="Verdana" w:hAnsi="Verdana" w:cs="Verdana"/>
        </w:rPr>
        <w:t>–</w:t>
      </w:r>
      <w:r w:rsidRPr="2F6BBC19">
        <w:rPr>
          <w:rFonts w:ascii="Verdana" w:hAnsi="Verdana"/>
        </w:rPr>
        <w:t xml:space="preserve"> </w:t>
      </w:r>
      <w:r w:rsidR="0033545A" w:rsidRPr="2F6BBC19">
        <w:rPr>
          <w:rFonts w:ascii="Verdana" w:hAnsi="Verdana"/>
        </w:rPr>
        <w:t>m</w:t>
      </w:r>
      <w:r w:rsidRPr="2F6BBC19">
        <w:rPr>
          <w:rFonts w:ascii="Verdana" w:hAnsi="Verdana"/>
        </w:rPr>
        <w:t xml:space="preserve">aintain the authority of kaitiaki to exercise their </w:t>
      </w:r>
      <w:proofErr w:type="spellStart"/>
      <w:r w:rsidRPr="2F6BBC19">
        <w:rPr>
          <w:rFonts w:ascii="Verdana" w:hAnsi="Verdana"/>
        </w:rPr>
        <w:t>tino</w:t>
      </w:r>
      <w:proofErr w:type="spellEnd"/>
      <w:r w:rsidRPr="2F6BBC19">
        <w:rPr>
          <w:rFonts w:ascii="Verdana" w:hAnsi="Verdana"/>
        </w:rPr>
        <w:t xml:space="preserve"> rangatiratanga. </w:t>
      </w:r>
    </w:p>
    <w:p w14:paraId="5039CCCD" w14:textId="16118889" w:rsidR="00E03668" w:rsidRPr="0059759F" w:rsidRDefault="00E03668" w:rsidP="2F6BBC19">
      <w:pPr>
        <w:pStyle w:val="ListParagraph"/>
        <w:numPr>
          <w:ilvl w:val="0"/>
          <w:numId w:val="1"/>
        </w:numPr>
        <w:spacing w:line="264" w:lineRule="auto"/>
        <w:ind w:left="567" w:hanging="567"/>
        <w:rPr>
          <w:rFonts w:ascii="Verdana" w:hAnsi="Verdana"/>
        </w:rPr>
      </w:pPr>
      <w:r w:rsidRPr="2F6BBC19">
        <w:rPr>
          <w:rFonts w:ascii="Verdana" w:hAnsi="Verdana"/>
        </w:rPr>
        <w:t xml:space="preserve">Kia </w:t>
      </w:r>
      <w:proofErr w:type="spellStart"/>
      <w:r w:rsidRPr="2F6BBC19">
        <w:rPr>
          <w:rFonts w:ascii="Verdana" w:hAnsi="Verdana"/>
        </w:rPr>
        <w:t>hiki</w:t>
      </w:r>
      <w:proofErr w:type="spellEnd"/>
      <w:r w:rsidRPr="2F6BBC19">
        <w:rPr>
          <w:rFonts w:ascii="Verdana" w:hAnsi="Verdana"/>
        </w:rPr>
        <w:t xml:space="preserve"> te mauri o te kaupapa – </w:t>
      </w:r>
      <w:r w:rsidR="0033545A" w:rsidRPr="2F6BBC19">
        <w:rPr>
          <w:rFonts w:ascii="Verdana" w:hAnsi="Verdana"/>
        </w:rPr>
        <w:t>r</w:t>
      </w:r>
      <w:r w:rsidR="00825668" w:rsidRPr="2F6BBC19">
        <w:rPr>
          <w:rFonts w:ascii="Verdana" w:hAnsi="Verdana"/>
        </w:rPr>
        <w:t>esearch considers the ecosystem as a whole and recognises ecosystemic balance.</w:t>
      </w:r>
    </w:p>
    <w:p w14:paraId="69046CB0" w14:textId="77777777" w:rsidR="006417CC" w:rsidRPr="0059759F" w:rsidRDefault="006417CC" w:rsidP="0059759F">
      <w:pPr>
        <w:spacing w:line="264" w:lineRule="auto"/>
        <w:rPr>
          <w:rFonts w:ascii="Verdana" w:hAnsi="Verdana"/>
        </w:rPr>
      </w:pPr>
      <w:r w:rsidRPr="0059759F">
        <w:rPr>
          <w:rFonts w:ascii="Verdana" w:hAnsi="Verdana"/>
        </w:rPr>
        <w:t xml:space="preserve">It also has three operating principles: </w:t>
      </w:r>
    </w:p>
    <w:p w14:paraId="1B9E70B8" w14:textId="7A75D240" w:rsidR="006417CC" w:rsidRPr="0059759F" w:rsidRDefault="006417CC" w:rsidP="2F6BBC19">
      <w:pPr>
        <w:pStyle w:val="ListParagraph"/>
        <w:numPr>
          <w:ilvl w:val="0"/>
          <w:numId w:val="2"/>
        </w:numPr>
        <w:spacing w:line="264" w:lineRule="auto"/>
        <w:ind w:left="567" w:hanging="567"/>
        <w:rPr>
          <w:rFonts w:ascii="Verdana" w:hAnsi="Verdana"/>
        </w:rPr>
      </w:pPr>
      <w:r w:rsidRPr="2F6BBC19">
        <w:rPr>
          <w:rFonts w:ascii="Verdana" w:hAnsi="Verdana"/>
        </w:rPr>
        <w:t xml:space="preserve">He whakapapa </w:t>
      </w:r>
      <w:proofErr w:type="spellStart"/>
      <w:r w:rsidRPr="2F6BBC19">
        <w:rPr>
          <w:rFonts w:ascii="Verdana" w:hAnsi="Verdana"/>
        </w:rPr>
        <w:t>t</w:t>
      </w:r>
      <w:r w:rsidR="5B68F9C1" w:rsidRPr="2F6BBC19">
        <w:rPr>
          <w:rFonts w:ascii="Verdana" w:hAnsi="Verdana"/>
        </w:rPr>
        <w:t>ō</w:t>
      </w:r>
      <w:proofErr w:type="spellEnd"/>
      <w:r w:rsidRPr="2F6BBC19">
        <w:rPr>
          <w:rFonts w:ascii="Verdana" w:hAnsi="Verdana" w:cs="Arial"/>
        </w:rPr>
        <w:t xml:space="preserve"> </w:t>
      </w:r>
      <w:r w:rsidRPr="2F6BBC19">
        <w:rPr>
          <w:rFonts w:ascii="Verdana" w:hAnsi="Verdana"/>
        </w:rPr>
        <w:t xml:space="preserve">te taonga </w:t>
      </w:r>
      <w:r w:rsidRPr="2F6BBC19">
        <w:rPr>
          <w:rFonts w:ascii="Verdana" w:hAnsi="Verdana" w:cs="Verdana"/>
        </w:rPr>
        <w:t>–</w:t>
      </w:r>
      <w:r w:rsidRPr="2F6BBC19">
        <w:rPr>
          <w:rFonts w:ascii="Verdana" w:hAnsi="Verdana"/>
        </w:rPr>
        <w:t xml:space="preserve"> </w:t>
      </w:r>
      <w:r w:rsidR="0033545A" w:rsidRPr="2F6BBC19">
        <w:rPr>
          <w:rFonts w:ascii="Verdana" w:hAnsi="Verdana"/>
        </w:rPr>
        <w:t>t</w:t>
      </w:r>
      <w:r w:rsidRPr="2F6BBC19">
        <w:rPr>
          <w:rFonts w:ascii="Verdana" w:hAnsi="Verdana"/>
        </w:rPr>
        <w:t>aonga have relationships with people and place.</w:t>
      </w:r>
    </w:p>
    <w:p w14:paraId="5693BA5F" w14:textId="51C88FAB" w:rsidR="006417CC" w:rsidRPr="0059759F" w:rsidRDefault="006417CC" w:rsidP="2F6BBC19">
      <w:pPr>
        <w:pStyle w:val="ListParagraph"/>
        <w:numPr>
          <w:ilvl w:val="0"/>
          <w:numId w:val="2"/>
        </w:numPr>
        <w:spacing w:line="264" w:lineRule="auto"/>
        <w:ind w:left="567" w:hanging="567"/>
        <w:rPr>
          <w:rFonts w:ascii="Verdana" w:hAnsi="Verdana"/>
        </w:rPr>
      </w:pPr>
      <w:r w:rsidRPr="2F6BBC19">
        <w:rPr>
          <w:rFonts w:ascii="Verdana" w:hAnsi="Verdana"/>
        </w:rPr>
        <w:t xml:space="preserve">He mauri </w:t>
      </w:r>
      <w:proofErr w:type="spellStart"/>
      <w:r w:rsidRPr="2F6BBC19">
        <w:rPr>
          <w:rFonts w:ascii="Verdana" w:hAnsi="Verdana"/>
        </w:rPr>
        <w:t>t</w:t>
      </w:r>
      <w:r w:rsidR="3F6B6A1E" w:rsidRPr="2F6BBC19">
        <w:rPr>
          <w:rFonts w:ascii="Verdana" w:hAnsi="Verdana"/>
        </w:rPr>
        <w:t>ō</w:t>
      </w:r>
      <w:proofErr w:type="spellEnd"/>
      <w:r w:rsidR="3F6B6A1E" w:rsidRPr="2F6BBC19">
        <w:rPr>
          <w:rFonts w:ascii="Verdana" w:hAnsi="Verdana"/>
        </w:rPr>
        <w:t xml:space="preserve"> </w:t>
      </w:r>
      <w:r w:rsidRPr="2F6BBC19">
        <w:rPr>
          <w:rFonts w:ascii="Verdana" w:hAnsi="Verdana"/>
        </w:rPr>
        <w:t xml:space="preserve">te taonga </w:t>
      </w:r>
      <w:r w:rsidRPr="2F6BBC19">
        <w:rPr>
          <w:rFonts w:ascii="Verdana" w:hAnsi="Verdana" w:cs="Verdana"/>
        </w:rPr>
        <w:t>–</w:t>
      </w:r>
      <w:r w:rsidRPr="2F6BBC19">
        <w:rPr>
          <w:rFonts w:ascii="Verdana" w:hAnsi="Verdana"/>
        </w:rPr>
        <w:t xml:space="preserve"> </w:t>
      </w:r>
      <w:r w:rsidR="0033545A" w:rsidRPr="2F6BBC19">
        <w:rPr>
          <w:rFonts w:ascii="Verdana" w:hAnsi="Verdana"/>
        </w:rPr>
        <w:t>t</w:t>
      </w:r>
      <w:r w:rsidRPr="2F6BBC19">
        <w:rPr>
          <w:rFonts w:ascii="Verdana" w:hAnsi="Verdana"/>
        </w:rPr>
        <w:t>aonga are essential components of the ecosystem.</w:t>
      </w:r>
    </w:p>
    <w:p w14:paraId="6129C8EC" w14:textId="1B376D32" w:rsidR="00825668" w:rsidRPr="0059759F" w:rsidRDefault="006417CC" w:rsidP="2F6BBC19">
      <w:pPr>
        <w:pStyle w:val="ListParagraph"/>
        <w:numPr>
          <w:ilvl w:val="0"/>
          <w:numId w:val="2"/>
        </w:numPr>
        <w:spacing w:line="264" w:lineRule="auto"/>
        <w:ind w:left="567" w:hanging="567"/>
        <w:rPr>
          <w:rFonts w:ascii="Verdana" w:hAnsi="Verdana"/>
        </w:rPr>
      </w:pPr>
      <w:r w:rsidRPr="2F6BBC19">
        <w:rPr>
          <w:rFonts w:ascii="Verdana" w:hAnsi="Verdana"/>
        </w:rPr>
        <w:t xml:space="preserve">He kaitiaki </w:t>
      </w:r>
      <w:proofErr w:type="spellStart"/>
      <w:r w:rsidRPr="2F6BBC19">
        <w:rPr>
          <w:rFonts w:ascii="Verdana" w:hAnsi="Verdana"/>
        </w:rPr>
        <w:t>t</w:t>
      </w:r>
      <w:r w:rsidR="27E51FFD" w:rsidRPr="2F6BBC19">
        <w:rPr>
          <w:rFonts w:ascii="Verdana" w:hAnsi="Verdana"/>
        </w:rPr>
        <w:t>ō</w:t>
      </w:r>
      <w:proofErr w:type="spellEnd"/>
      <w:r w:rsidR="27E51FFD" w:rsidRPr="2F6BBC19">
        <w:rPr>
          <w:rFonts w:ascii="Verdana" w:hAnsi="Verdana"/>
        </w:rPr>
        <w:t xml:space="preserve"> </w:t>
      </w:r>
      <w:r w:rsidRPr="2F6BBC19">
        <w:rPr>
          <w:rFonts w:ascii="Verdana" w:hAnsi="Verdana"/>
        </w:rPr>
        <w:t xml:space="preserve">te taonga </w:t>
      </w:r>
      <w:r w:rsidRPr="2F6BBC19">
        <w:rPr>
          <w:rFonts w:ascii="Verdana" w:hAnsi="Verdana" w:cs="Verdana"/>
        </w:rPr>
        <w:t>–</w:t>
      </w:r>
      <w:r w:rsidRPr="2F6BBC19">
        <w:rPr>
          <w:rFonts w:ascii="Verdana" w:hAnsi="Verdana"/>
        </w:rPr>
        <w:t xml:space="preserve"> </w:t>
      </w:r>
      <w:r w:rsidR="0033545A" w:rsidRPr="2F6BBC19">
        <w:rPr>
          <w:rFonts w:ascii="Verdana" w:hAnsi="Verdana"/>
        </w:rPr>
        <w:t>t</w:t>
      </w:r>
      <w:r w:rsidRPr="2F6BBC19">
        <w:rPr>
          <w:rFonts w:ascii="Verdana" w:hAnsi="Verdana"/>
        </w:rPr>
        <w:t>aonga are protected through intentional action.</w:t>
      </w:r>
    </w:p>
    <w:p w14:paraId="6F8BDBB1" w14:textId="1D452E5B" w:rsidR="00C727BD" w:rsidRPr="0059759F" w:rsidRDefault="00C727BD" w:rsidP="0059759F">
      <w:pPr>
        <w:spacing w:line="264" w:lineRule="auto"/>
        <w:rPr>
          <w:rFonts w:ascii="Verdana" w:hAnsi="Verdana"/>
          <w:b/>
          <w:bCs/>
          <w:color w:val="E97132" w:themeColor="accent2"/>
          <w:sz w:val="28"/>
          <w:szCs w:val="28"/>
        </w:rPr>
      </w:pPr>
      <w:r w:rsidRPr="0059759F">
        <w:rPr>
          <w:rFonts w:ascii="Verdana" w:hAnsi="Verdana"/>
          <w:b/>
          <w:bCs/>
          <w:color w:val="E97132" w:themeColor="accent2"/>
          <w:sz w:val="28"/>
          <w:szCs w:val="28"/>
        </w:rPr>
        <w:lastRenderedPageBreak/>
        <w:t>Mahi:</w:t>
      </w:r>
    </w:p>
    <w:p w14:paraId="3E786187" w14:textId="696376DF" w:rsidR="00C727BD" w:rsidRPr="0059759F" w:rsidRDefault="00C727BD" w:rsidP="2F6BBC19">
      <w:pPr>
        <w:spacing w:line="264" w:lineRule="auto"/>
        <w:rPr>
          <w:rFonts w:ascii="Verdana" w:hAnsi="Verdana"/>
        </w:rPr>
      </w:pPr>
      <w:r w:rsidRPr="2F6BBC19">
        <w:rPr>
          <w:rFonts w:ascii="Verdana" w:hAnsi="Verdana"/>
        </w:rPr>
        <w:t>What connections can you make between the</w:t>
      </w:r>
      <w:r w:rsidR="00A94F59" w:rsidRPr="2F6BBC19">
        <w:rPr>
          <w:rFonts w:ascii="Verdana" w:hAnsi="Verdana"/>
        </w:rPr>
        <w:t xml:space="preserve"> key</w:t>
      </w:r>
      <w:r w:rsidRPr="2F6BBC19">
        <w:rPr>
          <w:rFonts w:ascii="Verdana" w:hAnsi="Verdana"/>
        </w:rPr>
        <w:t xml:space="preserve"> terms</w:t>
      </w:r>
      <w:r w:rsidR="007D6F84" w:rsidRPr="2F6BBC19">
        <w:rPr>
          <w:rFonts w:ascii="Verdana" w:hAnsi="Verdana"/>
        </w:rPr>
        <w:t>,</w:t>
      </w:r>
      <w:r w:rsidRPr="2F6BBC19">
        <w:rPr>
          <w:rFonts w:ascii="Verdana" w:hAnsi="Verdana"/>
        </w:rPr>
        <w:t xml:space="preserve"> </w:t>
      </w:r>
      <w:r w:rsidR="00A94F59" w:rsidRPr="2F6BBC19">
        <w:rPr>
          <w:rFonts w:ascii="Verdana" w:hAnsi="Verdana"/>
        </w:rPr>
        <w:t xml:space="preserve">the guiding </w:t>
      </w:r>
      <w:r w:rsidR="007D6F84" w:rsidRPr="2F6BBC19">
        <w:rPr>
          <w:rFonts w:ascii="Verdana" w:hAnsi="Verdana"/>
        </w:rPr>
        <w:t xml:space="preserve">principles </w:t>
      </w:r>
      <w:r w:rsidR="00A94F59" w:rsidRPr="2F6BBC19">
        <w:rPr>
          <w:rFonts w:ascii="Verdana" w:hAnsi="Verdana"/>
        </w:rPr>
        <w:t xml:space="preserve">and </w:t>
      </w:r>
      <w:r w:rsidR="007D6F84" w:rsidRPr="2F6BBC19">
        <w:rPr>
          <w:rFonts w:ascii="Verdana" w:hAnsi="Verdana"/>
        </w:rPr>
        <w:t xml:space="preserve">the </w:t>
      </w:r>
      <w:r w:rsidR="00A94F59" w:rsidRPr="2F6BBC19">
        <w:rPr>
          <w:rFonts w:ascii="Verdana" w:hAnsi="Verdana"/>
        </w:rPr>
        <w:t>operating principles?</w:t>
      </w:r>
    </w:p>
    <w:p w14:paraId="34595480" w14:textId="6016AB2A" w:rsidR="00A94F59" w:rsidRDefault="00A94F59" w:rsidP="2F6BBC19">
      <w:pPr>
        <w:spacing w:line="264" w:lineRule="auto"/>
        <w:rPr>
          <w:rFonts w:ascii="Verdana" w:hAnsi="Verdana"/>
        </w:rPr>
      </w:pPr>
      <w:r w:rsidRPr="2F6BBC19">
        <w:rPr>
          <w:rFonts w:ascii="Verdana" w:hAnsi="Verdana"/>
        </w:rPr>
        <w:t>Use coloured highlighters, arrows or a numbering system to match some of the terms to the principles that they underpin.</w:t>
      </w:r>
    </w:p>
    <w:p w14:paraId="65BE993D" w14:textId="77777777" w:rsidR="00DD6836" w:rsidRDefault="00DD6836" w:rsidP="00DD6836">
      <w:pPr>
        <w:spacing w:line="264" w:lineRule="auto"/>
        <w:rPr>
          <w:rFonts w:ascii="Verdana" w:eastAsia="Verdana" w:hAnsi="Verdana" w:cs="Verdana"/>
          <w:b/>
          <w:bCs/>
          <w:color w:val="000000" w:themeColor="text1"/>
          <w:lang w:val="en-US"/>
        </w:rPr>
      </w:pPr>
    </w:p>
    <w:p w14:paraId="560054B5" w14:textId="2941B283" w:rsidR="00DD6836" w:rsidRPr="00DD6836" w:rsidRDefault="00DD6836" w:rsidP="2F6BBC19">
      <w:pPr>
        <w:spacing w:line="264" w:lineRule="auto"/>
        <w:rPr>
          <w:rFonts w:ascii="Verdana" w:eastAsia="Segoe UI" w:hAnsi="Verdana" w:cs="Segoe UI"/>
          <w:color w:val="000000" w:themeColor="text1"/>
          <w:sz w:val="18"/>
          <w:szCs w:val="18"/>
          <w:lang w:val="en-US"/>
        </w:rPr>
      </w:pPr>
      <w:r w:rsidRPr="568188BB">
        <w:rPr>
          <w:rFonts w:ascii="Verdana" w:eastAsia="Verdana" w:hAnsi="Verdana" w:cs="Verdana"/>
          <w:b/>
          <w:bCs/>
          <w:color w:val="000000" w:themeColor="text1"/>
          <w:lang w:val="en-US"/>
        </w:rPr>
        <w:t xml:space="preserve">Acknowledgement: </w:t>
      </w:r>
      <w:r w:rsidRPr="568188BB">
        <w:rPr>
          <w:rFonts w:ascii="Verdana" w:eastAsia="Verdana" w:hAnsi="Verdana" w:cs="Verdana"/>
          <w:color w:val="000000" w:themeColor="text1"/>
          <w:lang w:val="en-US"/>
        </w:rPr>
        <w:t xml:space="preserve">This resource was written by Gerd Banke, Nayland School and is part of </w:t>
      </w:r>
      <w:hyperlink r:id="rId14" w:history="1">
        <w:r w:rsidRPr="00867D41">
          <w:rPr>
            <w:rStyle w:val="Hyperlink"/>
            <w:rFonts w:ascii="Verdana" w:eastAsia="Verdana" w:hAnsi="Verdana" w:cs="Verdana"/>
            <w:lang w:val="en-US"/>
          </w:rPr>
          <w:t>Kaitiakitanga o te moana – a context for learning</w:t>
        </w:r>
      </w:hyperlink>
      <w:r w:rsidRPr="568188BB">
        <w:rPr>
          <w:rFonts w:ascii="Verdana" w:eastAsia="Verdana" w:hAnsi="Verdana" w:cs="Verdana"/>
          <w:color w:val="000000" w:themeColor="text1"/>
          <w:lang w:val="en-US"/>
        </w:rPr>
        <w:t>.</w:t>
      </w:r>
      <w:r w:rsidRPr="568188BB">
        <w:rPr>
          <w:rFonts w:ascii="Verdana" w:eastAsia="Segoe UI" w:hAnsi="Verdana" w:cs="Segoe UI"/>
          <w:color w:val="333333"/>
          <w:sz w:val="18"/>
          <w:szCs w:val="18"/>
          <w:lang w:val="en-US"/>
        </w:rPr>
        <w:t xml:space="preserve"> </w:t>
      </w:r>
    </w:p>
    <w:sectPr w:rsidR="00DD6836" w:rsidRPr="00DD6836">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CF7F8" w14:textId="77777777" w:rsidR="007E68CC" w:rsidRDefault="007E68CC" w:rsidP="0059759F">
      <w:pPr>
        <w:spacing w:after="0" w:line="240" w:lineRule="auto"/>
      </w:pPr>
      <w:r>
        <w:separator/>
      </w:r>
    </w:p>
  </w:endnote>
  <w:endnote w:type="continuationSeparator" w:id="0">
    <w:p w14:paraId="5302AA82" w14:textId="77777777" w:rsidR="007E68CC" w:rsidRDefault="007E68CC" w:rsidP="00597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8621074"/>
      <w:docPartObj>
        <w:docPartGallery w:val="Page Numbers (Bottom of Page)"/>
        <w:docPartUnique/>
      </w:docPartObj>
    </w:sdtPr>
    <w:sdtEndPr>
      <w:rPr>
        <w:rFonts w:ascii="Verdana" w:hAnsi="Verdana"/>
        <w:noProof/>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42"/>
          <w:gridCol w:w="374"/>
        </w:tblGrid>
        <w:sdt>
          <w:sdtPr>
            <w:id w:val="370355725"/>
            <w:docPartObj>
              <w:docPartGallery w:val="Page Numbers (Bottom of Page)"/>
              <w:docPartUnique/>
            </w:docPartObj>
          </w:sdtPr>
          <w:sdtEndPr>
            <w:rPr>
              <w:rFonts w:ascii="Verdana" w:hAnsi="Verdana"/>
              <w:color w:val="000000" w:themeColor="text1"/>
              <w:sz w:val="18"/>
              <w:szCs w:val="18"/>
            </w:rPr>
          </w:sdtEndPr>
          <w:sdtContent>
            <w:tr w:rsidR="00D066EE" w14:paraId="59FA09C3" w14:textId="77777777" w:rsidTr="0026446F">
              <w:tc>
                <w:tcPr>
                  <w:tcW w:w="8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2BAB24" w14:textId="77777777" w:rsidR="00D066EE" w:rsidRPr="00F40121" w:rsidRDefault="00D066EE" w:rsidP="00D066EE">
                  <w:pPr>
                    <w:tabs>
                      <w:tab w:val="center" w:pos="4320"/>
                      <w:tab w:val="right" w:pos="8640"/>
                    </w:tabs>
                    <w:rPr>
                      <w:rFonts w:ascii="Verdana" w:hAnsi="Verdana"/>
                      <w:color w:val="3366FF"/>
                      <w:sz w:val="18"/>
                      <w:szCs w:val="18"/>
                    </w:rPr>
                  </w:pPr>
                  <w:r w:rsidRPr="52ACCFFD">
                    <w:rPr>
                      <w:rFonts w:ascii="Verdana" w:hAnsi="Verdana"/>
                      <w:color w:val="3366FF"/>
                      <w:sz w:val="18"/>
                      <w:szCs w:val="18"/>
                    </w:rPr>
                    <w:t>© Copyright. Science Learning Hub – Pokapū Akoranga Pūtaiao, The University of Waikato.</w:t>
                  </w:r>
                  <w:r>
                    <w:tab/>
                  </w:r>
                </w:p>
                <w:bookmarkStart w:id="1" w:name="_2et92p0" w:colFirst="0" w:colLast="0"/>
                <w:bookmarkEnd w:id="1"/>
                <w:p w14:paraId="655163FC" w14:textId="77777777" w:rsidR="00D066EE" w:rsidRDefault="00D066EE" w:rsidP="00D066EE">
                  <w:pPr>
                    <w:tabs>
                      <w:tab w:val="left" w:pos="2685"/>
                    </w:tabs>
                    <w:spacing w:after="120"/>
                    <w:ind w:right="357"/>
                    <w:rPr>
                      <w:rFonts w:ascii="Verdana" w:hAnsi="Verdana"/>
                      <w:color w:val="3366FF"/>
                      <w:sz w:val="18"/>
                      <w:szCs w:val="18"/>
                    </w:rPr>
                  </w:pPr>
                  <w:r w:rsidRPr="00F40121">
                    <w:rPr>
                      <w:rFonts w:ascii="Verdana" w:hAnsi="Verdana"/>
                      <w:color w:val="2B579A"/>
                      <w:sz w:val="18"/>
                      <w:szCs w:val="18"/>
                      <w:shd w:val="clear" w:color="auto" w:fill="E6E6E6"/>
                    </w:rPr>
                    <w:fldChar w:fldCharType="begin"/>
                  </w:r>
                  <w:r w:rsidRPr="00F40121">
                    <w:rPr>
                      <w:rFonts w:ascii="Verdana" w:hAnsi="Verdana"/>
                      <w:sz w:val="18"/>
                      <w:szCs w:val="18"/>
                    </w:rPr>
                    <w:instrText>HYPERLINK "http://www.sciencelearn.org.nz" \h</w:instrText>
                  </w:r>
                  <w:r w:rsidRPr="00F40121">
                    <w:rPr>
                      <w:rFonts w:ascii="Verdana" w:hAnsi="Verdana"/>
                      <w:color w:val="2B579A"/>
                      <w:sz w:val="18"/>
                      <w:szCs w:val="18"/>
                      <w:shd w:val="clear" w:color="auto" w:fill="E6E6E6"/>
                    </w:rPr>
                  </w:r>
                  <w:r w:rsidRPr="00F40121">
                    <w:rPr>
                      <w:rFonts w:ascii="Verdana" w:hAnsi="Verdana"/>
                      <w:color w:val="2B579A"/>
                      <w:sz w:val="18"/>
                      <w:szCs w:val="18"/>
                      <w:shd w:val="clear" w:color="auto" w:fill="E6E6E6"/>
                    </w:rPr>
                    <w:fldChar w:fldCharType="separate"/>
                  </w:r>
                  <w:r w:rsidRPr="00F40121">
                    <w:rPr>
                      <w:rFonts w:ascii="Verdana" w:hAnsi="Verdana"/>
                      <w:color w:val="0000FF"/>
                      <w:sz w:val="18"/>
                      <w:szCs w:val="18"/>
                      <w:u w:val="single"/>
                    </w:rPr>
                    <w:t>www.sciencelearn.org.nz</w:t>
                  </w:r>
                  <w:r w:rsidRPr="00F40121">
                    <w:rPr>
                      <w:rFonts w:ascii="Verdana" w:hAnsi="Verdana"/>
                      <w:color w:val="0000FF"/>
                      <w:sz w:val="18"/>
                      <w:szCs w:val="18"/>
                      <w:u w:val="single"/>
                      <w:shd w:val="clear" w:color="auto" w:fill="E6E6E6"/>
                    </w:rPr>
                    <w:fldChar w:fldCharType="end"/>
                  </w:r>
                </w:p>
              </w:tc>
              <w:tc>
                <w:tcPr>
                  <w:tcW w:w="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75A790" w14:textId="77777777" w:rsidR="00D066EE" w:rsidRPr="0067497E" w:rsidRDefault="00D066EE" w:rsidP="00D066EE">
                  <w:pPr>
                    <w:tabs>
                      <w:tab w:val="center" w:pos="4320"/>
                      <w:tab w:val="right" w:pos="8640"/>
                    </w:tabs>
                    <w:jc w:val="right"/>
                    <w:rPr>
                      <w:rFonts w:ascii="Verdana" w:hAnsi="Verdana"/>
                      <w:color w:val="000000" w:themeColor="text1"/>
                      <w:sz w:val="18"/>
                      <w:szCs w:val="18"/>
                    </w:rPr>
                  </w:pPr>
                  <w:r w:rsidRPr="0067497E">
                    <w:rPr>
                      <w:rFonts w:ascii="Verdana" w:hAnsi="Verdana"/>
                      <w:color w:val="000000" w:themeColor="text1"/>
                      <w:sz w:val="18"/>
                      <w:szCs w:val="18"/>
                    </w:rPr>
                    <w:fldChar w:fldCharType="begin"/>
                  </w:r>
                  <w:r w:rsidRPr="0067497E">
                    <w:rPr>
                      <w:rFonts w:ascii="Verdana" w:hAnsi="Verdana"/>
                      <w:color w:val="000000" w:themeColor="text1"/>
                      <w:sz w:val="18"/>
                      <w:szCs w:val="18"/>
                    </w:rPr>
                    <w:instrText xml:space="preserve"> PAGE   \* MERGEFORMAT </w:instrText>
                  </w:r>
                  <w:r w:rsidRPr="0067497E">
                    <w:rPr>
                      <w:rFonts w:ascii="Verdana" w:hAnsi="Verdana"/>
                      <w:color w:val="000000" w:themeColor="text1"/>
                      <w:sz w:val="18"/>
                      <w:szCs w:val="18"/>
                    </w:rPr>
                    <w:fldChar w:fldCharType="separate"/>
                  </w:r>
                  <w:r>
                    <w:rPr>
                      <w:rFonts w:ascii="Verdana" w:hAnsi="Verdana"/>
                      <w:color w:val="000000" w:themeColor="text1"/>
                      <w:sz w:val="18"/>
                      <w:szCs w:val="18"/>
                    </w:rPr>
                    <w:t>3</w:t>
                  </w:r>
                  <w:r w:rsidRPr="0067497E">
                    <w:rPr>
                      <w:rFonts w:ascii="Verdana" w:hAnsi="Verdana"/>
                      <w:noProof/>
                      <w:color w:val="000000" w:themeColor="text1"/>
                      <w:sz w:val="18"/>
                      <w:szCs w:val="18"/>
                    </w:rPr>
                    <w:fldChar w:fldCharType="end"/>
                  </w:r>
                </w:p>
                <w:p w14:paraId="02AA4A89" w14:textId="77777777" w:rsidR="00D066EE" w:rsidRPr="0067497E" w:rsidRDefault="00D066EE" w:rsidP="00D066EE">
                  <w:pPr>
                    <w:tabs>
                      <w:tab w:val="center" w:pos="4320"/>
                      <w:tab w:val="right" w:pos="8640"/>
                    </w:tabs>
                    <w:rPr>
                      <w:rFonts w:ascii="Verdana" w:hAnsi="Verdana"/>
                      <w:color w:val="000000" w:themeColor="text1"/>
                      <w:sz w:val="18"/>
                      <w:szCs w:val="18"/>
                    </w:rPr>
                  </w:pPr>
                </w:p>
              </w:tc>
            </w:tr>
          </w:sdtContent>
        </w:sdt>
      </w:tbl>
      <w:p w14:paraId="68556D2F" w14:textId="77777777" w:rsidR="00D066EE" w:rsidRPr="009C3A32" w:rsidRDefault="00D066EE" w:rsidP="00D066EE">
        <w:pPr>
          <w:spacing w:after="0" w:line="240" w:lineRule="auto"/>
          <w:rPr>
            <w:sz w:val="2"/>
            <w:szCs w:val="2"/>
          </w:rPr>
        </w:pPr>
      </w:p>
      <w:p w14:paraId="393E9886" w14:textId="6BF6D231" w:rsidR="0059759F" w:rsidRPr="00D066EE" w:rsidRDefault="00D066EE" w:rsidP="00D066EE">
        <w:pPr>
          <w:pStyle w:val="Footer"/>
          <w:jc w:val="center"/>
          <w:rPr>
            <w:rFonts w:ascii="Verdana" w:hAnsi="Verdana"/>
            <w:sz w:val="2"/>
            <w:szCs w:val="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EB9D7" w14:textId="77777777" w:rsidR="007E68CC" w:rsidRDefault="007E68CC" w:rsidP="0059759F">
      <w:pPr>
        <w:spacing w:after="0" w:line="240" w:lineRule="auto"/>
      </w:pPr>
      <w:r>
        <w:separator/>
      </w:r>
    </w:p>
  </w:footnote>
  <w:footnote w:type="continuationSeparator" w:id="0">
    <w:p w14:paraId="4B751076" w14:textId="77777777" w:rsidR="007E68CC" w:rsidRDefault="007E68CC" w:rsidP="00597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113" w:type="dxa"/>
      <w:tblLayout w:type="fixed"/>
      <w:tblCellMar>
        <w:left w:w="0" w:type="dxa"/>
        <w:right w:w="0" w:type="dxa"/>
      </w:tblCellMar>
      <w:tblLook w:val="04A0" w:firstRow="1" w:lastRow="0" w:firstColumn="1" w:lastColumn="0" w:noHBand="0" w:noVBand="1"/>
    </w:tblPr>
    <w:tblGrid>
      <w:gridCol w:w="2155"/>
      <w:gridCol w:w="6748"/>
    </w:tblGrid>
    <w:tr w:rsidR="00ED621B" w14:paraId="3349DB0E" w14:textId="77777777" w:rsidTr="0026446F">
      <w:tc>
        <w:tcPr>
          <w:tcW w:w="2155" w:type="dxa"/>
          <w:tcBorders>
            <w:top w:val="single" w:sz="4" w:space="0" w:color="FFFFFF" w:themeColor="background1"/>
            <w:left w:val="nil"/>
            <w:bottom w:val="single" w:sz="4" w:space="0" w:color="FFFFFF" w:themeColor="background1"/>
            <w:right w:val="single" w:sz="4" w:space="0" w:color="FFFFFF" w:themeColor="background1"/>
          </w:tcBorders>
        </w:tcPr>
        <w:p w14:paraId="64BE9196" w14:textId="77777777" w:rsidR="00ED621B" w:rsidRDefault="00ED621B" w:rsidP="00ED621B">
          <w:pPr>
            <w:tabs>
              <w:tab w:val="left" w:pos="2093"/>
            </w:tabs>
            <w:rPr>
              <w:rFonts w:ascii="Verdana" w:eastAsia="Verdana" w:hAnsi="Verdana" w:cs="Verdana"/>
              <w:color w:val="3366FF"/>
              <w:kern w:val="0"/>
              <w:sz w:val="12"/>
              <w:szCs w:val="12"/>
              <w:lang w:val="en-GB" w:eastAsia="ja-JP"/>
              <w14:ligatures w14:val="none"/>
            </w:rPr>
          </w:pPr>
          <w:bookmarkStart w:id="0" w:name="_Hlk190517759"/>
        </w:p>
      </w:tc>
      <w:tc>
        <w:tcPr>
          <w:tcW w:w="6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E41D6D" w14:textId="77777777" w:rsidR="00ED621B" w:rsidRDefault="00ED621B" w:rsidP="00ED621B">
          <w:pPr>
            <w:tabs>
              <w:tab w:val="left" w:pos="2093"/>
            </w:tabs>
            <w:ind w:left="113"/>
            <w:rPr>
              <w:rFonts w:ascii="Verdana" w:eastAsia="Verdana" w:hAnsi="Verdana" w:cs="Verdana"/>
              <w:color w:val="3366FF"/>
              <w:kern w:val="0"/>
              <w:sz w:val="12"/>
              <w:szCs w:val="12"/>
              <w:lang w:val="en-GB" w:eastAsia="ja-JP"/>
              <w14:ligatures w14:val="none"/>
            </w:rPr>
          </w:pPr>
          <w:r w:rsidRPr="00F40121">
            <w:rPr>
              <w:rFonts w:ascii="Verdana" w:eastAsia="Verdana" w:hAnsi="Verdana" w:cs="Verdana"/>
              <w:color w:val="3366FF"/>
              <w:kern w:val="0"/>
              <w:sz w:val="20"/>
              <w:szCs w:val="20"/>
              <w:lang w:val="en-GB" w:eastAsia="ja-JP"/>
              <w14:ligatures w14:val="none"/>
            </w:rPr>
            <w:t>Kaitiakitanga o te moana – a context for learning</w:t>
          </w:r>
        </w:p>
      </w:tc>
    </w:tr>
  </w:tbl>
  <w:bookmarkEnd w:id="0"/>
  <w:p w14:paraId="336576B0" w14:textId="77777777" w:rsidR="00ED621B" w:rsidRDefault="00ED621B" w:rsidP="00ED621B">
    <w:pPr>
      <w:pStyle w:val="Header"/>
    </w:pPr>
    <w:r w:rsidRPr="00F40121">
      <w:rPr>
        <w:rFonts w:ascii="Verdana" w:eastAsia="Verdana" w:hAnsi="Verdana" w:cs="Verdana"/>
        <w:noProof/>
        <w:color w:val="3366FF"/>
        <w:kern w:val="0"/>
        <w:sz w:val="20"/>
        <w:szCs w:val="20"/>
        <w:lang w:val="en-GB" w:eastAsia="ja-JP"/>
        <w14:ligatures w14:val="none"/>
      </w:rPr>
      <w:drawing>
        <wp:anchor distT="0" distB="0" distL="114300" distR="114300" simplePos="0" relativeHeight="251658240" behindDoc="0" locked="0" layoutInCell="1" allowOverlap="1" wp14:anchorId="15047D5C" wp14:editId="6849EED0">
          <wp:simplePos x="0" y="0"/>
          <wp:positionH relativeFrom="column">
            <wp:posOffset>0</wp:posOffset>
          </wp:positionH>
          <wp:positionV relativeFrom="paragraph">
            <wp:posOffset>-342265</wp:posOffset>
          </wp:positionV>
          <wp:extent cx="1378800" cy="586800"/>
          <wp:effectExtent l="0" t="0" r="0" b="3810"/>
          <wp:wrapNone/>
          <wp:docPr id="162631652" name="image1.jpg" descr="Blue and white logo of the Science Learning Hub – Pokapū Akoranga Pūtaiao, www.sciencelearn.org.nz."/>
          <wp:cNvGraphicFramePr/>
          <a:graphic xmlns:a="http://schemas.openxmlformats.org/drawingml/2006/main">
            <a:graphicData uri="http://schemas.openxmlformats.org/drawingml/2006/picture">
              <pic:pic xmlns:pic="http://schemas.openxmlformats.org/drawingml/2006/picture">
                <pic:nvPicPr>
                  <pic:cNvPr id="0" name="image1.jpg" descr="Blue and white logo of the Science Learning Hub – Pokapū Akoranga Pūtaiao, www.sciencelearn.org.nz."/>
                  <pic:cNvPicPr preferRelativeResize="0"/>
                </pic:nvPicPr>
                <pic:blipFill>
                  <a:blip r:embed="rId1">
                    <a:extLst>
                      <a:ext uri="{28A0092B-C50C-407E-A947-70E740481C1C}">
                        <a14:useLocalDpi xmlns:a14="http://schemas.microsoft.com/office/drawing/2010/main" val="0"/>
                      </a:ext>
                    </a:extLst>
                  </a:blip>
                  <a:srcRect t="880" b="880"/>
                  <a:stretch>
                    <a:fillRect/>
                  </a:stretch>
                </pic:blipFill>
                <pic:spPr>
                  <a:xfrm>
                    <a:off x="0" y="0"/>
                    <a:ext cx="1378800" cy="586800"/>
                  </a:xfrm>
                  <a:prstGeom prst="rect">
                    <a:avLst/>
                  </a:prstGeom>
                  <a:ln/>
                </pic:spPr>
              </pic:pic>
            </a:graphicData>
          </a:graphic>
          <wp14:sizeRelH relativeFrom="margin">
            <wp14:pctWidth>0</wp14:pctWidth>
          </wp14:sizeRelH>
          <wp14:sizeRelV relativeFrom="margin">
            <wp14:pctHeight>0</wp14:pctHeight>
          </wp14:sizeRelV>
        </wp:anchor>
      </w:drawing>
    </w:r>
  </w:p>
  <w:p w14:paraId="0635A435" w14:textId="59DF409C" w:rsidR="0059759F" w:rsidRPr="00ED621B" w:rsidRDefault="0059759F" w:rsidP="00ED62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72217"/>
    <w:multiLevelType w:val="hybridMultilevel"/>
    <w:tmpl w:val="06B83B22"/>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 w15:restartNumberingAfterBreak="0">
    <w:nsid w:val="37C24B53"/>
    <w:multiLevelType w:val="hybridMultilevel"/>
    <w:tmpl w:val="FC46C4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501C7CDE"/>
    <w:multiLevelType w:val="hybridMultilevel"/>
    <w:tmpl w:val="BA9203D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260840761">
    <w:abstractNumId w:val="1"/>
  </w:num>
  <w:num w:numId="2" w16cid:durableId="167595383">
    <w:abstractNumId w:val="0"/>
  </w:num>
  <w:num w:numId="3" w16cid:durableId="8216548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9B6"/>
    <w:rsid w:val="000E50C7"/>
    <w:rsid w:val="00271148"/>
    <w:rsid w:val="0033545A"/>
    <w:rsid w:val="004F5E07"/>
    <w:rsid w:val="00520219"/>
    <w:rsid w:val="005456BB"/>
    <w:rsid w:val="0059759F"/>
    <w:rsid w:val="0060414B"/>
    <w:rsid w:val="006417CC"/>
    <w:rsid w:val="006F0FD6"/>
    <w:rsid w:val="007946C9"/>
    <w:rsid w:val="007967D0"/>
    <w:rsid w:val="007D6F84"/>
    <w:rsid w:val="007E68CC"/>
    <w:rsid w:val="00825668"/>
    <w:rsid w:val="00871680"/>
    <w:rsid w:val="009F5A10"/>
    <w:rsid w:val="00A261D4"/>
    <w:rsid w:val="00A94F59"/>
    <w:rsid w:val="00C64228"/>
    <w:rsid w:val="00C727BD"/>
    <w:rsid w:val="00D066EE"/>
    <w:rsid w:val="00D339B6"/>
    <w:rsid w:val="00DD6836"/>
    <w:rsid w:val="00E03668"/>
    <w:rsid w:val="00ED621B"/>
    <w:rsid w:val="00FC447B"/>
    <w:rsid w:val="00FE3F6B"/>
    <w:rsid w:val="087C8611"/>
    <w:rsid w:val="08CF1E00"/>
    <w:rsid w:val="189D82DF"/>
    <w:rsid w:val="1965FD1D"/>
    <w:rsid w:val="1A5BD56C"/>
    <w:rsid w:val="1CB815CC"/>
    <w:rsid w:val="20F00F76"/>
    <w:rsid w:val="27E51FFD"/>
    <w:rsid w:val="2CE6B295"/>
    <w:rsid w:val="2F6BBC19"/>
    <w:rsid w:val="33ABFA57"/>
    <w:rsid w:val="34FDFE3E"/>
    <w:rsid w:val="36AE9F44"/>
    <w:rsid w:val="3948F06C"/>
    <w:rsid w:val="3B8F7B38"/>
    <w:rsid w:val="3D439BCF"/>
    <w:rsid w:val="3F6B6A1E"/>
    <w:rsid w:val="3FCD5F14"/>
    <w:rsid w:val="434D2CE9"/>
    <w:rsid w:val="4953329F"/>
    <w:rsid w:val="4A12CE22"/>
    <w:rsid w:val="4DDBCB93"/>
    <w:rsid w:val="4FF1D21C"/>
    <w:rsid w:val="50D14C37"/>
    <w:rsid w:val="52A5EEC1"/>
    <w:rsid w:val="53C06C21"/>
    <w:rsid w:val="5B68F9C1"/>
    <w:rsid w:val="60BC1674"/>
    <w:rsid w:val="6244061C"/>
    <w:rsid w:val="644B625F"/>
    <w:rsid w:val="67164C56"/>
    <w:rsid w:val="6CEBA301"/>
    <w:rsid w:val="75E3B31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C135B"/>
  <w15:chartTrackingRefBased/>
  <w15:docId w15:val="{B7BA96EF-FA6B-4B96-931B-8ABF0E6DA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7CC"/>
  </w:style>
  <w:style w:type="paragraph" w:styleId="Heading1">
    <w:name w:val="heading 1"/>
    <w:basedOn w:val="Normal"/>
    <w:next w:val="Normal"/>
    <w:link w:val="Heading1Char"/>
    <w:uiPriority w:val="9"/>
    <w:qFormat/>
    <w:rsid w:val="00D339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39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39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39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39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39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39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39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39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9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39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39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39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39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39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39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39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39B6"/>
    <w:rPr>
      <w:rFonts w:eastAsiaTheme="majorEastAsia" w:cstheme="majorBidi"/>
      <w:color w:val="272727" w:themeColor="text1" w:themeTint="D8"/>
    </w:rPr>
  </w:style>
  <w:style w:type="paragraph" w:styleId="Title">
    <w:name w:val="Title"/>
    <w:basedOn w:val="Normal"/>
    <w:next w:val="Normal"/>
    <w:link w:val="TitleChar"/>
    <w:uiPriority w:val="10"/>
    <w:qFormat/>
    <w:rsid w:val="00D339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39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39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39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39B6"/>
    <w:pPr>
      <w:spacing w:before="160"/>
      <w:jc w:val="center"/>
    </w:pPr>
    <w:rPr>
      <w:i/>
      <w:iCs/>
      <w:color w:val="404040" w:themeColor="text1" w:themeTint="BF"/>
    </w:rPr>
  </w:style>
  <w:style w:type="character" w:customStyle="1" w:styleId="QuoteChar">
    <w:name w:val="Quote Char"/>
    <w:basedOn w:val="DefaultParagraphFont"/>
    <w:link w:val="Quote"/>
    <w:uiPriority w:val="29"/>
    <w:rsid w:val="00D339B6"/>
    <w:rPr>
      <w:i/>
      <w:iCs/>
      <w:color w:val="404040" w:themeColor="text1" w:themeTint="BF"/>
    </w:rPr>
  </w:style>
  <w:style w:type="paragraph" w:styleId="ListParagraph">
    <w:name w:val="List Paragraph"/>
    <w:basedOn w:val="Normal"/>
    <w:uiPriority w:val="34"/>
    <w:qFormat/>
    <w:rsid w:val="00D339B6"/>
    <w:pPr>
      <w:ind w:left="720"/>
      <w:contextualSpacing/>
    </w:pPr>
  </w:style>
  <w:style w:type="character" w:styleId="IntenseEmphasis">
    <w:name w:val="Intense Emphasis"/>
    <w:basedOn w:val="DefaultParagraphFont"/>
    <w:uiPriority w:val="21"/>
    <w:qFormat/>
    <w:rsid w:val="00D339B6"/>
    <w:rPr>
      <w:i/>
      <w:iCs/>
      <w:color w:val="0F4761" w:themeColor="accent1" w:themeShade="BF"/>
    </w:rPr>
  </w:style>
  <w:style w:type="paragraph" w:styleId="IntenseQuote">
    <w:name w:val="Intense Quote"/>
    <w:basedOn w:val="Normal"/>
    <w:next w:val="Normal"/>
    <w:link w:val="IntenseQuoteChar"/>
    <w:uiPriority w:val="30"/>
    <w:qFormat/>
    <w:rsid w:val="00D339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39B6"/>
    <w:rPr>
      <w:i/>
      <w:iCs/>
      <w:color w:val="0F4761" w:themeColor="accent1" w:themeShade="BF"/>
    </w:rPr>
  </w:style>
  <w:style w:type="character" w:styleId="IntenseReference">
    <w:name w:val="Intense Reference"/>
    <w:basedOn w:val="DefaultParagraphFont"/>
    <w:uiPriority w:val="32"/>
    <w:qFormat/>
    <w:rsid w:val="00D339B6"/>
    <w:rPr>
      <w:b/>
      <w:bCs/>
      <w:smallCaps/>
      <w:color w:val="0F4761" w:themeColor="accent1" w:themeShade="BF"/>
      <w:spacing w:val="5"/>
    </w:rPr>
  </w:style>
  <w:style w:type="character" w:styleId="Hyperlink">
    <w:name w:val="Hyperlink"/>
    <w:basedOn w:val="DefaultParagraphFont"/>
    <w:uiPriority w:val="99"/>
    <w:unhideWhenUsed/>
    <w:rsid w:val="00D339B6"/>
    <w:rPr>
      <w:color w:val="467886" w:themeColor="hyperlink"/>
      <w:u w:val="single"/>
    </w:rPr>
  </w:style>
  <w:style w:type="character" w:styleId="UnresolvedMention">
    <w:name w:val="Unresolved Mention"/>
    <w:basedOn w:val="DefaultParagraphFont"/>
    <w:uiPriority w:val="99"/>
    <w:semiHidden/>
    <w:unhideWhenUsed/>
    <w:rsid w:val="00D339B6"/>
    <w:rPr>
      <w:color w:val="605E5C"/>
      <w:shd w:val="clear" w:color="auto" w:fill="E1DFDD"/>
    </w:rPr>
  </w:style>
  <w:style w:type="character" w:styleId="CommentReference">
    <w:name w:val="annotation reference"/>
    <w:basedOn w:val="DefaultParagraphFont"/>
    <w:uiPriority w:val="99"/>
    <w:semiHidden/>
    <w:unhideWhenUsed/>
    <w:rsid w:val="009F5A10"/>
    <w:rPr>
      <w:sz w:val="16"/>
      <w:szCs w:val="16"/>
    </w:rPr>
  </w:style>
  <w:style w:type="paragraph" w:styleId="CommentText">
    <w:name w:val="annotation text"/>
    <w:basedOn w:val="Normal"/>
    <w:link w:val="CommentTextChar"/>
    <w:uiPriority w:val="99"/>
    <w:unhideWhenUsed/>
    <w:rsid w:val="009F5A10"/>
    <w:pPr>
      <w:spacing w:line="240" w:lineRule="auto"/>
    </w:pPr>
    <w:rPr>
      <w:sz w:val="20"/>
      <w:szCs w:val="20"/>
    </w:rPr>
  </w:style>
  <w:style w:type="character" w:customStyle="1" w:styleId="CommentTextChar">
    <w:name w:val="Comment Text Char"/>
    <w:basedOn w:val="DefaultParagraphFont"/>
    <w:link w:val="CommentText"/>
    <w:uiPriority w:val="99"/>
    <w:rsid w:val="009F5A10"/>
    <w:rPr>
      <w:sz w:val="20"/>
      <w:szCs w:val="20"/>
    </w:rPr>
  </w:style>
  <w:style w:type="paragraph" w:styleId="CommentSubject">
    <w:name w:val="annotation subject"/>
    <w:basedOn w:val="CommentText"/>
    <w:next w:val="CommentText"/>
    <w:link w:val="CommentSubjectChar"/>
    <w:uiPriority w:val="99"/>
    <w:semiHidden/>
    <w:unhideWhenUsed/>
    <w:rsid w:val="009F5A10"/>
    <w:rPr>
      <w:b/>
      <w:bCs/>
    </w:rPr>
  </w:style>
  <w:style w:type="character" w:customStyle="1" w:styleId="CommentSubjectChar">
    <w:name w:val="Comment Subject Char"/>
    <w:basedOn w:val="CommentTextChar"/>
    <w:link w:val="CommentSubject"/>
    <w:uiPriority w:val="99"/>
    <w:semiHidden/>
    <w:rsid w:val="009F5A10"/>
    <w:rPr>
      <w:b/>
      <w:bCs/>
      <w:sz w:val="20"/>
      <w:szCs w:val="20"/>
    </w:rPr>
  </w:style>
  <w:style w:type="paragraph" w:styleId="Header">
    <w:name w:val="header"/>
    <w:basedOn w:val="Normal"/>
    <w:link w:val="HeaderChar"/>
    <w:uiPriority w:val="99"/>
    <w:unhideWhenUsed/>
    <w:rsid w:val="005975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759F"/>
  </w:style>
  <w:style w:type="paragraph" w:styleId="Footer">
    <w:name w:val="footer"/>
    <w:basedOn w:val="Normal"/>
    <w:link w:val="FooterChar"/>
    <w:uiPriority w:val="99"/>
    <w:unhideWhenUsed/>
    <w:rsid w:val="005975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759F"/>
  </w:style>
  <w:style w:type="table" w:styleId="TableGrid">
    <w:name w:val="Table Grid"/>
    <w:basedOn w:val="TableNormal"/>
    <w:uiPriority w:val="59"/>
    <w:rsid w:val="005975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FE3F6B"/>
    <w:pPr>
      <w:spacing w:after="0" w:line="240" w:lineRule="auto"/>
    </w:pPr>
  </w:style>
  <w:style w:type="character" w:styleId="FollowedHyperlink">
    <w:name w:val="FollowedHyperlink"/>
    <w:basedOn w:val="DefaultParagraphFont"/>
    <w:uiPriority w:val="99"/>
    <w:semiHidden/>
    <w:unhideWhenUsed/>
    <w:rsid w:val="00FE3F6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nomics-aotearoa.org.nz/sites/default/files/2022-02/Te%20Nohonga%20Kaitiaki%20Guidelines%20for%20genomic%20research%20on%20taonga%20species.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iencelearn.org.nz/resources/3250-rna-interference-key-term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iencelearn.org.nz/resources/3384-kaitiakitanga-o-te-moana-a-context-for-learn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5F98048418244CA28177D6A12BD030" ma:contentTypeVersion="15" ma:contentTypeDescription="Create a new document." ma:contentTypeScope="" ma:versionID="5451cc7f844b4f9382d07c734e806dda">
  <xsd:schema xmlns:xsd="http://www.w3.org/2001/XMLSchema" xmlns:xs="http://www.w3.org/2001/XMLSchema" xmlns:p="http://schemas.microsoft.com/office/2006/metadata/properties" xmlns:ns2="d3f96774-ed5c-4303-bb3c-88d5d8414a6a" xmlns:ns3="0335ee8f-960b-4792-93e9-b2b8f8bfecae" targetNamespace="http://schemas.microsoft.com/office/2006/metadata/properties" ma:root="true" ma:fieldsID="9e9ff5c21a64d37fb7a20e1be043fcfa" ns2:_="" ns3:_="">
    <xsd:import namespace="d3f96774-ed5c-4303-bb3c-88d5d8414a6a"/>
    <xsd:import namespace="0335ee8f-960b-4792-93e9-b2b8f8bfeca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96774-ed5c-4303-bb3c-88d5d8414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85f202-651a-4356-97e7-25d4790ca55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35ee8f-960b-4792-93e9-b2b8f8bfeca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720cf7-d7e3-4829-aa8c-91d70288c061}" ma:internalName="TaxCatchAll" ma:showField="CatchAllData" ma:web="0335ee8f-960b-4792-93e9-b2b8f8bfeca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335ee8f-960b-4792-93e9-b2b8f8bfecae" xsi:nil="true"/>
    <lcf76f155ced4ddcb4097134ff3c332f xmlns="d3f96774-ed5c-4303-bb3c-88d5d8414a6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A1AED6-55CB-420A-BF3D-E8BDCC52EAAC}">
  <ds:schemaRefs>
    <ds:schemaRef ds:uri="http://schemas.openxmlformats.org/officeDocument/2006/bibliography"/>
  </ds:schemaRefs>
</ds:datastoreItem>
</file>

<file path=customXml/itemProps2.xml><?xml version="1.0" encoding="utf-8"?>
<ds:datastoreItem xmlns:ds="http://schemas.openxmlformats.org/officeDocument/2006/customXml" ds:itemID="{E1889BA3-6209-4390-92F4-29C7A3851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96774-ed5c-4303-bb3c-88d5d8414a6a"/>
    <ds:schemaRef ds:uri="0335ee8f-960b-4792-93e9-b2b8f8bfe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2805FC-2730-4326-8B08-E1F878DA3308}">
  <ds:schemaRefs>
    <ds:schemaRef ds:uri="http://schemas.microsoft.com/sharepoint/v3/contenttype/forms"/>
  </ds:schemaRefs>
</ds:datastoreItem>
</file>

<file path=customXml/itemProps4.xml><?xml version="1.0" encoding="utf-8"?>
<ds:datastoreItem xmlns:ds="http://schemas.openxmlformats.org/officeDocument/2006/customXml" ds:itemID="{6CC89A7B-9EE8-4817-B682-28C7CD4E5D82}">
  <ds:schemaRefs>
    <ds:schemaRef ds:uri="http://schemas.microsoft.com/office/2006/metadata/properties"/>
    <ds:schemaRef ds:uri="http://schemas.microsoft.com/office/infopath/2007/PartnerControls"/>
    <ds:schemaRef ds:uri="0335ee8f-960b-4792-93e9-b2b8f8bfecae"/>
    <ds:schemaRef ds:uri="d3f96774-ed5c-4303-bb3c-88d5d8414a6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647</Words>
  <Characters>3691</Characters>
  <Application>Microsoft Office Word</Application>
  <DocSecurity>0</DocSecurity>
  <Lines>30</Lines>
  <Paragraphs>8</Paragraphs>
  <ScaleCrop>false</ScaleCrop>
  <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DNA as taonga</dc:title>
  <dc:subject/>
  <dc:creator>Science Learning Hub – Pokapū Akoranga Pūtaiao, The University of Waikato Te Whare Wānanga o Waikato</dc:creator>
  <cp:keywords/>
  <dc:description/>
  <cp:lastModifiedBy>Vanya Bootham</cp:lastModifiedBy>
  <cp:revision>2</cp:revision>
  <dcterms:created xsi:type="dcterms:W3CDTF">2025-03-21T04:48:00Z</dcterms:created>
  <dcterms:modified xsi:type="dcterms:W3CDTF">2025-03-21T04:48:00Z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0x010100555F98048418244CA28177D6A12BD030</vt:lpwstr>
  </property>
  <property fmtid="{D5CDD505-2E9C-101B-9397-08002B2CF9AE}" pid="3" name="MediaServiceImageTags">
    <vt:lpwstr/>
  </property>
</Properties>
</file>