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E220" w14:textId="31AD9575" w:rsidR="007946C9" w:rsidRPr="00345619" w:rsidRDefault="00EF661B" w:rsidP="00345619">
      <w:pPr>
        <w:spacing w:line="264" w:lineRule="auto"/>
        <w:rPr>
          <w:rFonts w:ascii="Verdana" w:hAnsi="Verdana"/>
          <w:b/>
          <w:bCs/>
          <w:color w:val="E97032"/>
          <w:sz w:val="36"/>
          <w:szCs w:val="36"/>
        </w:rPr>
      </w:pPr>
      <w:r w:rsidRPr="00345619">
        <w:rPr>
          <w:rFonts w:ascii="Verdana" w:hAnsi="Verdana"/>
          <w:b/>
          <w:bCs/>
          <w:color w:val="E97032"/>
          <w:sz w:val="36"/>
          <w:szCs w:val="36"/>
        </w:rPr>
        <w:t>Draw as a scientist</w:t>
      </w:r>
    </w:p>
    <w:p w14:paraId="46BEE965" w14:textId="08B13337" w:rsidR="00EF661B" w:rsidRPr="00345619" w:rsidRDefault="00EF661B" w:rsidP="00345619">
      <w:pPr>
        <w:spacing w:line="264" w:lineRule="auto"/>
        <w:rPr>
          <w:rFonts w:ascii="Verdana" w:hAnsi="Verdana"/>
          <w:color w:val="E97032"/>
          <w:sz w:val="28"/>
          <w:szCs w:val="28"/>
        </w:rPr>
      </w:pPr>
      <w:r w:rsidRPr="00345619">
        <w:rPr>
          <w:rFonts w:ascii="Verdana" w:hAnsi="Verdana"/>
          <w:b/>
          <w:bCs/>
          <w:color w:val="E97032"/>
          <w:sz w:val="28"/>
          <w:szCs w:val="28"/>
        </w:rPr>
        <w:t>Ako: Learn about eDNA and how it can be used as a pest detector</w:t>
      </w:r>
    </w:p>
    <w:p w14:paraId="674FD38B" w14:textId="673421AD" w:rsidR="00EF661B" w:rsidRPr="00345619" w:rsidRDefault="00EF661B" w:rsidP="00345619">
      <w:pPr>
        <w:spacing w:line="264" w:lineRule="auto"/>
        <w:rPr>
          <w:rFonts w:ascii="Verdana" w:hAnsi="Verdana"/>
        </w:rPr>
      </w:pPr>
      <w:r w:rsidRPr="148988D6">
        <w:rPr>
          <w:rFonts w:ascii="Verdana" w:hAnsi="Verdana"/>
        </w:rPr>
        <w:t xml:space="preserve">Science communication takes many forms – most often through text and diagrams. </w:t>
      </w:r>
      <w:r w:rsidR="2E0D390F" w:rsidRPr="148988D6">
        <w:rPr>
          <w:rFonts w:ascii="Verdana" w:hAnsi="Verdana"/>
        </w:rPr>
        <w:t>Whichever</w:t>
      </w:r>
      <w:r w:rsidRPr="148988D6">
        <w:rPr>
          <w:rFonts w:ascii="Verdana" w:hAnsi="Verdana"/>
        </w:rPr>
        <w:t xml:space="preserve"> form is used, it is </w:t>
      </w:r>
      <w:proofErr w:type="gramStart"/>
      <w:r w:rsidRPr="148988D6">
        <w:rPr>
          <w:rFonts w:ascii="Verdana" w:hAnsi="Verdana"/>
        </w:rPr>
        <w:t>really important</w:t>
      </w:r>
      <w:proofErr w:type="gramEnd"/>
      <w:r w:rsidRPr="148988D6">
        <w:rPr>
          <w:rFonts w:ascii="Verdana" w:hAnsi="Verdana"/>
        </w:rPr>
        <w:t xml:space="preserve"> for scientists to be able to communicate their ideas.</w:t>
      </w:r>
      <w:r w:rsidR="00E772DD" w:rsidRPr="148988D6">
        <w:rPr>
          <w:rFonts w:ascii="Verdana" w:hAnsi="Verdana"/>
        </w:rPr>
        <w:t xml:space="preserve"> </w:t>
      </w:r>
      <w:r w:rsidRPr="148988D6">
        <w:rPr>
          <w:rFonts w:ascii="Verdana" w:hAnsi="Verdana"/>
        </w:rPr>
        <w:t xml:space="preserve">With this activity, you </w:t>
      </w:r>
      <w:r w:rsidR="00E772DD" w:rsidRPr="148988D6">
        <w:rPr>
          <w:rFonts w:ascii="Verdana" w:hAnsi="Verdana"/>
        </w:rPr>
        <w:t>can</w:t>
      </w:r>
      <w:r w:rsidRPr="148988D6">
        <w:rPr>
          <w:rFonts w:ascii="Verdana" w:hAnsi="Verdana"/>
        </w:rPr>
        <w:t xml:space="preserve"> express your understanding of a science article via a drawing or a painting.</w:t>
      </w:r>
    </w:p>
    <w:p w14:paraId="2791C5A1" w14:textId="27922606" w:rsidR="00EF661B" w:rsidRPr="00345619" w:rsidRDefault="00EF661B" w:rsidP="148988D6">
      <w:pPr>
        <w:spacing w:line="264" w:lineRule="auto"/>
        <w:rPr>
          <w:rFonts w:ascii="Verdana" w:hAnsi="Verdana"/>
        </w:rPr>
      </w:pPr>
      <w:r w:rsidRPr="148988D6">
        <w:rPr>
          <w:rFonts w:ascii="Verdana" w:hAnsi="Verdana"/>
        </w:rPr>
        <w:t>There are t</w:t>
      </w:r>
      <w:r w:rsidR="66A79125" w:rsidRPr="148988D6">
        <w:rPr>
          <w:rFonts w:ascii="Verdana" w:hAnsi="Verdana"/>
        </w:rPr>
        <w:t>hree</w:t>
      </w:r>
      <w:r w:rsidRPr="148988D6">
        <w:rPr>
          <w:rFonts w:ascii="Verdana" w:hAnsi="Verdana"/>
        </w:rPr>
        <w:t xml:space="preserve"> articles to choose from</w:t>
      </w:r>
      <w:r w:rsidR="000E3148" w:rsidRPr="148988D6">
        <w:rPr>
          <w:rFonts w:ascii="Verdana" w:hAnsi="Verdana"/>
        </w:rPr>
        <w:t xml:space="preserve"> – each article makes use of eDNA to discover which species are – and aren’t – present in a local ecosystem</w:t>
      </w:r>
      <w:r w:rsidRPr="148988D6">
        <w:rPr>
          <w:rFonts w:ascii="Verdana" w:hAnsi="Verdana"/>
        </w:rPr>
        <w:t xml:space="preserve">: </w:t>
      </w:r>
    </w:p>
    <w:p w14:paraId="2477125E" w14:textId="090B0C3D" w:rsidR="00EF661B" w:rsidRPr="00345619" w:rsidRDefault="00CC6C0E" w:rsidP="00E772D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hyperlink r:id="rId10" w:history="1">
        <w:r w:rsidRPr="00345619">
          <w:rPr>
            <w:rStyle w:val="Hyperlink"/>
            <w:rFonts w:ascii="Verdana" w:hAnsi="Verdana"/>
          </w:rPr>
          <w:t>Scientists vacuum zoo animals</w:t>
        </w:r>
        <w:r w:rsidR="00E772DD">
          <w:rPr>
            <w:rStyle w:val="Hyperlink"/>
            <w:rFonts w:ascii="Verdana" w:hAnsi="Verdana"/>
          </w:rPr>
          <w:t>’</w:t>
        </w:r>
        <w:r w:rsidRPr="00345619">
          <w:rPr>
            <w:rStyle w:val="Hyperlink"/>
            <w:rFonts w:ascii="Verdana" w:hAnsi="Verdana"/>
          </w:rPr>
          <w:t xml:space="preserve"> DNA out of the air</w:t>
        </w:r>
      </w:hyperlink>
      <w:r w:rsidRPr="00345619">
        <w:rPr>
          <w:rFonts w:ascii="Verdana" w:hAnsi="Verdana"/>
        </w:rPr>
        <w:t xml:space="preserve"> </w:t>
      </w:r>
      <w:r w:rsidR="00E772DD">
        <w:rPr>
          <w:rFonts w:ascii="Verdana" w:hAnsi="Verdana"/>
        </w:rPr>
        <w:t xml:space="preserve">(NPR) </w:t>
      </w:r>
      <w:r w:rsidR="00EF661B" w:rsidRPr="00345619">
        <w:rPr>
          <w:rFonts w:ascii="Verdana" w:hAnsi="Verdana"/>
        </w:rPr>
        <w:t>is about scientists who vacuum</w:t>
      </w:r>
      <w:r w:rsidR="006707CC" w:rsidRPr="00345619">
        <w:rPr>
          <w:rFonts w:ascii="Verdana" w:hAnsi="Verdana"/>
        </w:rPr>
        <w:t xml:space="preserve"> </w:t>
      </w:r>
      <w:r w:rsidR="00EF661B" w:rsidRPr="00345619">
        <w:rPr>
          <w:rFonts w:ascii="Verdana" w:hAnsi="Verdana"/>
        </w:rPr>
        <w:t>clean the air to find out what animals and plants live in the area.</w:t>
      </w:r>
    </w:p>
    <w:p w14:paraId="6C25B251" w14:textId="3B90021F" w:rsidR="00EF661B" w:rsidRPr="00345619" w:rsidRDefault="00CC6C0E" w:rsidP="00E772D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hyperlink r:id="rId11">
        <w:r w:rsidRPr="148988D6">
          <w:rPr>
            <w:rStyle w:val="Hyperlink"/>
            <w:rFonts w:ascii="Verdana" w:hAnsi="Verdana"/>
          </w:rPr>
          <w:t>Why won’t scientific evidence change the minds of Loch Ness monster true believers?</w:t>
        </w:r>
      </w:hyperlink>
      <w:r w:rsidRPr="148988D6">
        <w:rPr>
          <w:rFonts w:ascii="Verdana" w:hAnsi="Verdana"/>
        </w:rPr>
        <w:t xml:space="preserve"> </w:t>
      </w:r>
      <w:r w:rsidR="00E772DD" w:rsidRPr="148988D6">
        <w:rPr>
          <w:rFonts w:ascii="Verdana" w:hAnsi="Verdana"/>
        </w:rPr>
        <w:t xml:space="preserve">(The Conversation) </w:t>
      </w:r>
      <w:r w:rsidRPr="148988D6">
        <w:rPr>
          <w:rFonts w:ascii="Verdana" w:hAnsi="Verdana"/>
        </w:rPr>
        <w:t>i</w:t>
      </w:r>
      <w:r w:rsidR="00EF661B" w:rsidRPr="148988D6">
        <w:rPr>
          <w:rFonts w:ascii="Verdana" w:hAnsi="Verdana"/>
        </w:rPr>
        <w:t xml:space="preserve">s about scientists using eDNA to </w:t>
      </w:r>
      <w:r w:rsidRPr="148988D6">
        <w:rPr>
          <w:rFonts w:ascii="Verdana" w:hAnsi="Verdana"/>
        </w:rPr>
        <w:t>investigate whether the Loch Ness monster is real.</w:t>
      </w:r>
      <w:r w:rsidR="00E772DD" w:rsidRPr="148988D6">
        <w:rPr>
          <w:rFonts w:ascii="Verdana" w:hAnsi="Verdana"/>
        </w:rPr>
        <w:t xml:space="preserve"> </w:t>
      </w:r>
      <w:r w:rsidR="006707CC" w:rsidRPr="148988D6">
        <w:rPr>
          <w:rFonts w:ascii="Verdana" w:hAnsi="Verdana"/>
        </w:rPr>
        <w:t xml:space="preserve"> </w:t>
      </w:r>
    </w:p>
    <w:p w14:paraId="0970D707" w14:textId="78CF29C4" w:rsidR="7B848A65" w:rsidRPr="00345619" w:rsidRDefault="7B848A65" w:rsidP="148988D6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hyperlink r:id="rId12">
        <w:r w:rsidRPr="148988D6">
          <w:rPr>
            <w:rStyle w:val="Hyperlink"/>
            <w:rFonts w:ascii="Verdana" w:hAnsi="Verdana"/>
          </w:rPr>
          <w:t>A mysterious intruder in paradise</w:t>
        </w:r>
      </w:hyperlink>
      <w:r w:rsidRPr="148988D6">
        <w:rPr>
          <w:rFonts w:ascii="Verdana" w:hAnsi="Verdana"/>
        </w:rPr>
        <w:t xml:space="preserve"> </w:t>
      </w:r>
      <w:r w:rsidR="00E772DD" w:rsidRPr="148988D6">
        <w:rPr>
          <w:rFonts w:ascii="Verdana" w:hAnsi="Verdana"/>
        </w:rPr>
        <w:t xml:space="preserve">(Cawthron eDNA Services) </w:t>
      </w:r>
      <w:r w:rsidRPr="148988D6">
        <w:rPr>
          <w:rFonts w:ascii="Verdana" w:hAnsi="Verdana"/>
        </w:rPr>
        <w:t>is a case study</w:t>
      </w:r>
      <w:r w:rsidR="7397214A" w:rsidRPr="148988D6">
        <w:rPr>
          <w:rFonts w:ascii="Verdana" w:hAnsi="Verdana"/>
        </w:rPr>
        <w:t xml:space="preserve"> involving a potential threat to Zealandia Te Māra a Tāne restoration efforts. </w:t>
      </w:r>
    </w:p>
    <w:p w14:paraId="10358156" w14:textId="146D6E52" w:rsidR="0009427F" w:rsidRPr="00345619" w:rsidRDefault="0009427F" w:rsidP="00345619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345619">
        <w:rPr>
          <w:rFonts w:ascii="Verdana" w:hAnsi="Verdana"/>
          <w:b/>
          <w:bCs/>
          <w:color w:val="E97132" w:themeColor="accent2"/>
          <w:sz w:val="28"/>
          <w:szCs w:val="28"/>
        </w:rPr>
        <w:t>Mahi:</w:t>
      </w:r>
    </w:p>
    <w:p w14:paraId="0CD09CA7" w14:textId="2418D1E0" w:rsidR="0009427F" w:rsidRPr="005E0D39" w:rsidRDefault="0009427F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Read</w:t>
      </w:r>
      <w:r w:rsidR="40345D0B" w:rsidRPr="005E0D39">
        <w:rPr>
          <w:rFonts w:ascii="Verdana" w:hAnsi="Verdana"/>
        </w:rPr>
        <w:t xml:space="preserve"> all three</w:t>
      </w:r>
      <w:r w:rsidRPr="005E0D39">
        <w:rPr>
          <w:rFonts w:ascii="Verdana" w:hAnsi="Verdana"/>
        </w:rPr>
        <w:t xml:space="preserve"> articles and choose the article that </w:t>
      </w:r>
      <w:r w:rsidR="009E3B83" w:rsidRPr="005E0D39">
        <w:rPr>
          <w:rFonts w:ascii="Verdana" w:hAnsi="Verdana"/>
        </w:rPr>
        <w:t>appeals to your artistic and scientific interests.</w:t>
      </w:r>
    </w:p>
    <w:p w14:paraId="73A1261F" w14:textId="596A8E49" w:rsidR="009E3B83" w:rsidRPr="005E0D39" w:rsidRDefault="009E3B83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Think about what the authors are trying to communicate via their article.</w:t>
      </w:r>
    </w:p>
    <w:p w14:paraId="04063829" w14:textId="01BDCA07" w:rsidR="009E3B83" w:rsidRPr="005E0D39" w:rsidRDefault="009E3B83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Note key words or phrases that interest you or help to tell or illustrate the narrative.</w:t>
      </w:r>
    </w:p>
    <w:p w14:paraId="671BCAA8" w14:textId="4CE8F0C0" w:rsidR="005E0D39" w:rsidRPr="005E0D39" w:rsidRDefault="00720D08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Imag</w:t>
      </w:r>
      <w:r w:rsidR="000E3148" w:rsidRPr="005E0D39">
        <w:rPr>
          <w:rFonts w:ascii="Verdana" w:hAnsi="Verdana"/>
        </w:rPr>
        <w:t>in</w:t>
      </w:r>
      <w:r w:rsidRPr="005E0D39">
        <w:rPr>
          <w:rFonts w:ascii="Verdana" w:hAnsi="Verdana"/>
        </w:rPr>
        <w:t>e a scene. This could be the physical setting where the eDNA testing is taking place or it could feature the animals/people mentioned in the article.</w:t>
      </w:r>
    </w:p>
    <w:p w14:paraId="2CBA5F98" w14:textId="50DA87D6" w:rsidR="009E3B83" w:rsidRPr="005E0D39" w:rsidRDefault="009E3B83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Sketch, draw or paint</w:t>
      </w:r>
      <w:r w:rsidR="00720D08" w:rsidRPr="005E0D39">
        <w:rPr>
          <w:rFonts w:ascii="Verdana" w:hAnsi="Verdana"/>
        </w:rPr>
        <w:t xml:space="preserve"> this imaginary scene.</w:t>
      </w:r>
    </w:p>
    <w:p w14:paraId="327282D3" w14:textId="0FE2B7CD" w:rsidR="00720D08" w:rsidRPr="005E0D39" w:rsidRDefault="00720D08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>Use some of the key words or phrases to annotate and add context to your drawing.</w:t>
      </w:r>
    </w:p>
    <w:p w14:paraId="4F184866" w14:textId="484CE1F3" w:rsidR="00720D08" w:rsidRPr="005E0D39" w:rsidRDefault="00720D08" w:rsidP="005E0D39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D39">
        <w:rPr>
          <w:rFonts w:ascii="Verdana" w:hAnsi="Verdana"/>
        </w:rPr>
        <w:t xml:space="preserve">If desired, keep the article you used anonymous. Share your drawing with someone else. What are they </w:t>
      </w:r>
      <w:r w:rsidR="006707CC" w:rsidRPr="005E0D39">
        <w:rPr>
          <w:rFonts w:ascii="Verdana" w:hAnsi="Verdana"/>
        </w:rPr>
        <w:t>able to pick up via your work?</w:t>
      </w:r>
    </w:p>
    <w:p w14:paraId="3FCBA7D2" w14:textId="2DF05AA0" w:rsidR="51E4553B" w:rsidRPr="00E85626" w:rsidRDefault="00E85626" w:rsidP="00E85626">
      <w:pPr>
        <w:spacing w:line="264" w:lineRule="auto"/>
        <w:ind w:left="360"/>
        <w:rPr>
          <w:rFonts w:ascii="Verdana" w:eastAsia="Segoe UI" w:hAnsi="Verdana" w:cs="Segoe UI"/>
          <w:color w:val="333333"/>
        </w:rPr>
      </w:pPr>
      <w:r w:rsidRPr="00E85626">
        <w:rPr>
          <w:rFonts w:ascii="Verdana" w:eastAsia="Verdana" w:hAnsi="Verdana" w:cs="Verdana"/>
          <w:b/>
          <w:bCs/>
        </w:rPr>
        <w:t xml:space="preserve">Acknowledgement: </w:t>
      </w:r>
      <w:r w:rsidRPr="00E85626">
        <w:rPr>
          <w:rFonts w:ascii="Verdana" w:eastAsia="Verdana" w:hAnsi="Verdana" w:cs="Verdana"/>
        </w:rPr>
        <w:t>This resource was written by Gerd Banke, Nayland School and</w:t>
      </w:r>
      <w:r w:rsidRPr="00E85626">
        <w:rPr>
          <w:rFonts w:ascii="Verdana" w:eastAsia="Verdana" w:hAnsi="Verdana" w:cs="Verdana"/>
          <w:color w:val="000000" w:themeColor="text1"/>
        </w:rPr>
        <w:t xml:space="preserve"> is part of </w:t>
      </w:r>
      <w:hyperlink r:id="rId13" w:history="1">
        <w:r w:rsidRPr="00E85626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Pr="00E85626">
        <w:rPr>
          <w:rFonts w:ascii="Verdana" w:eastAsia="Verdana" w:hAnsi="Verdana" w:cs="Verdana"/>
          <w:color w:val="000000" w:themeColor="text1"/>
        </w:rPr>
        <w:t>.</w:t>
      </w:r>
    </w:p>
    <w:sectPr w:rsidR="51E4553B" w:rsidRPr="00E85626" w:rsidSect="00345619">
      <w:headerReference w:type="default" r:id="rId14"/>
      <w:foot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55DB" w14:textId="77777777" w:rsidR="002006B0" w:rsidRDefault="002006B0" w:rsidP="00345619">
      <w:pPr>
        <w:spacing w:after="0" w:line="240" w:lineRule="auto"/>
      </w:pPr>
      <w:r>
        <w:separator/>
      </w:r>
    </w:p>
  </w:endnote>
  <w:endnote w:type="continuationSeparator" w:id="0">
    <w:p w14:paraId="312ED4CB" w14:textId="77777777" w:rsidR="002006B0" w:rsidRDefault="002006B0" w:rsidP="0034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21D3B702" w14:textId="77777777" w:rsidR="007D0171" w:rsidRPr="00F40121" w:rsidRDefault="007D0171" w:rsidP="007D0171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tr w:rsidR="007D0171" w:rsidRPr="00BB3FDD" w14:paraId="3921573F" w14:textId="77777777" w:rsidTr="005938B5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52208E4F" w14:textId="77777777" w:rsidR="007D0171" w:rsidRPr="00F40121" w:rsidRDefault="007D0171" w:rsidP="007D0171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662170F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>
                <w:tab/>
              </w:r>
            </w:p>
            <w:bookmarkStart w:id="0" w:name="_2et92p0" w:colFirst="0" w:colLast="0"/>
            <w:bookmarkEnd w:id="0"/>
            <w:p w14:paraId="46004A96" w14:textId="77777777" w:rsidR="007D0171" w:rsidRDefault="007D0171" w:rsidP="007D0171">
              <w:pPr>
                <w:tabs>
                  <w:tab w:val="left" w:pos="3081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143A26D3" w14:textId="77777777" w:rsidR="007D0171" w:rsidRPr="00BB3FDD" w:rsidRDefault="007D0171" w:rsidP="007D0171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sz w:val="18"/>
                  <w:szCs w:val="18"/>
                </w:rPr>
              </w:pPr>
              <w:r w:rsidRPr="00BB3FDD">
                <w:rPr>
                  <w:rFonts w:ascii="Verdana" w:hAnsi="Verdana"/>
                  <w:sz w:val="18"/>
                  <w:szCs w:val="18"/>
                </w:rPr>
                <w:fldChar w:fldCharType="begin"/>
              </w:r>
              <w:r w:rsidRPr="00BB3FDD">
                <w:rPr>
                  <w:rFonts w:ascii="Verdana" w:hAnsi="Verdana"/>
                  <w:sz w:val="18"/>
                  <w:szCs w:val="18"/>
                </w:rPr>
                <w:instrText xml:space="preserve"> PAGE   \* MERGEFORMAT </w:instrText>
              </w:r>
              <w:r w:rsidRPr="00BB3FDD">
                <w:rPr>
                  <w:rFonts w:ascii="Verdana" w:hAnsi="Verdana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sz w:val="18"/>
                  <w:szCs w:val="18"/>
                </w:rPr>
                <w:t>1</w:t>
              </w:r>
              <w:r w:rsidRPr="00BB3FDD">
                <w:rPr>
                  <w:rFonts w:ascii="Verdana" w:hAnsi="Verdana"/>
                  <w:noProof/>
                  <w:sz w:val="18"/>
                  <w:szCs w:val="18"/>
                </w:rPr>
                <w:fldChar w:fldCharType="end"/>
              </w:r>
            </w:p>
            <w:p w14:paraId="15F02753" w14:textId="77777777" w:rsidR="007D0171" w:rsidRPr="00BB3FDD" w:rsidRDefault="00000000" w:rsidP="007D0171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sz w:val="18"/>
                  <w:szCs w:val="18"/>
                </w:rPr>
              </w:pPr>
            </w:p>
          </w:tc>
        </w:tr>
      </w:tbl>
    </w:sdtContent>
  </w:sdt>
  <w:p w14:paraId="4F1CD949" w14:textId="77777777" w:rsidR="007D0171" w:rsidRPr="009C3A32" w:rsidRDefault="007D0171" w:rsidP="007D0171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8906" w14:textId="77777777" w:rsidR="002006B0" w:rsidRDefault="002006B0" w:rsidP="00345619">
      <w:pPr>
        <w:spacing w:after="0" w:line="240" w:lineRule="auto"/>
      </w:pPr>
      <w:r>
        <w:separator/>
      </w:r>
    </w:p>
  </w:footnote>
  <w:footnote w:type="continuationSeparator" w:id="0">
    <w:p w14:paraId="0E7E683D" w14:textId="77777777" w:rsidR="002006B0" w:rsidRDefault="002006B0" w:rsidP="0034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0178F6" w14:paraId="22B2991D" w14:textId="77777777" w:rsidTr="005938B5"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B60A320" w14:textId="77777777" w:rsidR="000178F6" w:rsidRDefault="000178F6" w:rsidP="000178F6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55ED8DF" w14:textId="77777777" w:rsidR="000178F6" w:rsidRDefault="000178F6" w:rsidP="000178F6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r w:rsidRPr="00F40121">
            <w:rPr>
              <w:rFonts w:ascii="Verdana" w:eastAsia="Verdana" w:hAnsi="Verdana" w:cs="Verdana"/>
              <w:color w:val="3366FF"/>
              <w:sz w:val="20"/>
              <w:szCs w:val="20"/>
              <w:lang w:val="en-GB" w:eastAsia="ja-JP"/>
            </w:rPr>
            <w:t>Kaitiakitanga o te moana – a context for learning</w:t>
          </w:r>
        </w:p>
      </w:tc>
    </w:tr>
  </w:tbl>
  <w:p w14:paraId="15E64632" w14:textId="7764DAB8" w:rsidR="00345619" w:rsidRPr="000178F6" w:rsidRDefault="000178F6" w:rsidP="000178F6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 w:eastAsia="ja-JP"/>
      </w:rPr>
      <w:drawing>
        <wp:anchor distT="0" distB="0" distL="114300" distR="114300" simplePos="0" relativeHeight="251658240" behindDoc="0" locked="0" layoutInCell="1" allowOverlap="1" wp14:anchorId="390A7831" wp14:editId="61B1CB23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582770067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9B6"/>
    <w:multiLevelType w:val="hybridMultilevel"/>
    <w:tmpl w:val="19B0DF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7EC"/>
    <w:multiLevelType w:val="hybridMultilevel"/>
    <w:tmpl w:val="2BCEEAF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B0831"/>
    <w:multiLevelType w:val="hybridMultilevel"/>
    <w:tmpl w:val="81A29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A3DE6"/>
    <w:multiLevelType w:val="hybridMultilevel"/>
    <w:tmpl w:val="E0909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4195">
    <w:abstractNumId w:val="0"/>
  </w:num>
  <w:num w:numId="2" w16cid:durableId="1884443476">
    <w:abstractNumId w:val="2"/>
  </w:num>
  <w:num w:numId="3" w16cid:durableId="1382755501">
    <w:abstractNumId w:val="1"/>
  </w:num>
  <w:num w:numId="4" w16cid:durableId="603001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1B"/>
    <w:rsid w:val="000178F6"/>
    <w:rsid w:val="0009427F"/>
    <w:rsid w:val="000E3148"/>
    <w:rsid w:val="002006B0"/>
    <w:rsid w:val="00345619"/>
    <w:rsid w:val="005E0D39"/>
    <w:rsid w:val="006707CC"/>
    <w:rsid w:val="00720D08"/>
    <w:rsid w:val="007946C9"/>
    <w:rsid w:val="007D0171"/>
    <w:rsid w:val="00922EFD"/>
    <w:rsid w:val="00923C0D"/>
    <w:rsid w:val="009E3B83"/>
    <w:rsid w:val="00A932D6"/>
    <w:rsid w:val="00AA1672"/>
    <w:rsid w:val="00AC0E72"/>
    <w:rsid w:val="00BF040C"/>
    <w:rsid w:val="00C64228"/>
    <w:rsid w:val="00CC6C0E"/>
    <w:rsid w:val="00CE1DBB"/>
    <w:rsid w:val="00D737CE"/>
    <w:rsid w:val="00E772DD"/>
    <w:rsid w:val="00E85626"/>
    <w:rsid w:val="00EF661B"/>
    <w:rsid w:val="00F93F79"/>
    <w:rsid w:val="00FC447B"/>
    <w:rsid w:val="0932299B"/>
    <w:rsid w:val="0BBCB679"/>
    <w:rsid w:val="148988D6"/>
    <w:rsid w:val="18759AA8"/>
    <w:rsid w:val="2E0D390F"/>
    <w:rsid w:val="40345D0B"/>
    <w:rsid w:val="4299F370"/>
    <w:rsid w:val="42A62D00"/>
    <w:rsid w:val="43487A32"/>
    <w:rsid w:val="45BDDF97"/>
    <w:rsid w:val="498787B1"/>
    <w:rsid w:val="4D9B43AB"/>
    <w:rsid w:val="51E4553B"/>
    <w:rsid w:val="5710A05A"/>
    <w:rsid w:val="5A37BF4A"/>
    <w:rsid w:val="5CB461D8"/>
    <w:rsid w:val="6137C2E5"/>
    <w:rsid w:val="66A79125"/>
    <w:rsid w:val="7397214A"/>
    <w:rsid w:val="75633419"/>
    <w:rsid w:val="78DF434E"/>
    <w:rsid w:val="7B848A65"/>
    <w:rsid w:val="7F0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356A"/>
  <w15:chartTrackingRefBased/>
  <w15:docId w15:val="{1DA88A69-494F-41F5-873F-C923C1D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6C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C0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19"/>
  </w:style>
  <w:style w:type="paragraph" w:styleId="Footer">
    <w:name w:val="footer"/>
    <w:basedOn w:val="Normal"/>
    <w:link w:val="FooterChar"/>
    <w:uiPriority w:val="99"/>
    <w:unhideWhenUsed/>
    <w:rsid w:val="0034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19"/>
  </w:style>
  <w:style w:type="table" w:styleId="TableGrid">
    <w:name w:val="Table Grid"/>
    <w:basedOn w:val="TableNormal"/>
    <w:uiPriority w:val="59"/>
    <w:rsid w:val="00345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772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72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iencelearn.org.nz/resources/3384-kaitiakitanga-o-te-moana-a-context-for-lear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na.cawthron.org.nz/case-study-zealand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conversation.com/why-wont-scientific-evidence-change-the-minds-of-loch-ness-monster-true-believers-9730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pr.org/2022/01/09/1071238185/vacuuming-airborne-zoo-animal-d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C02A6-95DE-47BC-8895-BFEA32F4A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CD2F7-0461-44A5-A8FB-5D683E6E7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09BA6-259C-41AA-87BA-70D8C8F9453E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as a scientist</dc:title>
  <dc:subject/>
  <dc:creator>Science Learning Hub – Pokapū Akoranga Pūtaiao, The University of Waikato Te Whare Wānanga o Waikato</dc:creator>
  <cp:keywords/>
  <dc:description/>
  <cp:lastModifiedBy>Angela Schipper</cp:lastModifiedBy>
  <cp:revision>3</cp:revision>
  <dcterms:created xsi:type="dcterms:W3CDTF">2025-03-21T22:36:00Z</dcterms:created>
  <dcterms:modified xsi:type="dcterms:W3CDTF">2025-03-24T02:12:00Z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