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FDC6" w14:textId="77777777" w:rsidR="00C759F4" w:rsidRDefault="00C759F4" w:rsidP="00C759F4">
      <w:pPr>
        <w:jc w:val="center"/>
        <w:rPr>
          <w:b/>
          <w:bCs/>
          <w:sz w:val="24"/>
          <w:szCs w:val="24"/>
        </w:rPr>
      </w:pPr>
      <w:bookmarkStart w:id="0" w:name="_gjdgxs"/>
      <w:bookmarkEnd w:id="0"/>
      <w:r w:rsidRPr="35CE92D0">
        <w:rPr>
          <w:b/>
          <w:bCs/>
          <w:sz w:val="24"/>
          <w:szCs w:val="24"/>
        </w:rPr>
        <w:t xml:space="preserve">ACTIVITY: </w:t>
      </w:r>
      <w:r>
        <w:rPr>
          <w:b/>
          <w:bCs/>
          <w:sz w:val="24"/>
          <w:szCs w:val="24"/>
        </w:rPr>
        <w:t>Drive it Down! – r</w:t>
      </w:r>
      <w:r w:rsidRPr="35CE92D0">
        <w:rPr>
          <w:b/>
          <w:bCs/>
          <w:sz w:val="24"/>
          <w:szCs w:val="24"/>
        </w:rPr>
        <w:t>educing emissions</w:t>
      </w:r>
      <w:r>
        <w:rPr>
          <w:b/>
          <w:bCs/>
          <w:sz w:val="24"/>
          <w:szCs w:val="24"/>
        </w:rPr>
        <w:t xml:space="preserve"> at your school</w:t>
      </w:r>
    </w:p>
    <w:p w14:paraId="36446361" w14:textId="77777777" w:rsidR="00C759F4" w:rsidRDefault="00C759F4" w:rsidP="00C759F4"/>
    <w:p w14:paraId="78A560E5" w14:textId="77777777" w:rsidR="00C759F4" w:rsidRDefault="00C759F4" w:rsidP="00C759F4">
      <w:pPr>
        <w:pBdr>
          <w:top w:val="single" w:sz="4" w:space="1" w:color="auto"/>
          <w:left w:val="single" w:sz="4" w:space="4" w:color="auto"/>
          <w:bottom w:val="single" w:sz="4" w:space="1" w:color="auto"/>
          <w:right w:val="single" w:sz="4" w:space="4" w:color="auto"/>
        </w:pBdr>
      </w:pPr>
      <w:r>
        <w:t>In this activity, ākonga read an article, research and graph individual transport methods and then consider what action they can take to reduce the school’s greenhouse gas footprint.</w:t>
      </w:r>
    </w:p>
    <w:p w14:paraId="7B83172A" w14:textId="77777777" w:rsidR="00C759F4" w:rsidRDefault="00C759F4" w:rsidP="00C759F4">
      <w:pPr>
        <w:pBdr>
          <w:top w:val="single" w:sz="4" w:space="1" w:color="auto"/>
          <w:left w:val="single" w:sz="4" w:space="4" w:color="auto"/>
          <w:bottom w:val="single" w:sz="4" w:space="1" w:color="auto"/>
          <w:right w:val="single" w:sz="4" w:space="4" w:color="auto"/>
        </w:pBdr>
      </w:pPr>
    </w:p>
    <w:p w14:paraId="6F1CAEB3" w14:textId="77777777" w:rsidR="00C759F4" w:rsidRDefault="00C759F4" w:rsidP="00C759F4">
      <w:pPr>
        <w:pBdr>
          <w:top w:val="single" w:sz="4" w:space="1" w:color="auto"/>
          <w:left w:val="single" w:sz="4" w:space="4" w:color="auto"/>
          <w:bottom w:val="single" w:sz="4" w:space="1" w:color="auto"/>
          <w:right w:val="single" w:sz="4" w:space="4" w:color="auto"/>
        </w:pBdr>
      </w:pPr>
      <w:r>
        <w:t>By the end of the activity, ākonga should be able to:</w:t>
      </w:r>
    </w:p>
    <w:p w14:paraId="3A670064" w14:textId="77777777" w:rsidR="00C759F4" w:rsidRDefault="00C759F4" w:rsidP="00C759F4">
      <w:pPr>
        <w:pStyle w:val="ListParagraph"/>
        <w:numPr>
          <w:ilvl w:val="0"/>
          <w:numId w:val="5"/>
        </w:numPr>
        <w:pBdr>
          <w:top w:val="single" w:sz="4" w:space="1" w:color="auto"/>
          <w:left w:val="single" w:sz="4" w:space="4" w:color="auto"/>
          <w:bottom w:val="single" w:sz="4" w:space="1" w:color="auto"/>
          <w:right w:val="single" w:sz="4" w:space="4" w:color="auto"/>
        </w:pBdr>
      </w:pPr>
      <w:r>
        <w:t>use literacy skills to read an article</w:t>
      </w:r>
    </w:p>
    <w:p w14:paraId="1C86BD71" w14:textId="77777777" w:rsidR="00C759F4" w:rsidRDefault="00C759F4" w:rsidP="00C759F4">
      <w:pPr>
        <w:pStyle w:val="ListParagraph"/>
        <w:numPr>
          <w:ilvl w:val="0"/>
          <w:numId w:val="5"/>
        </w:numPr>
        <w:pBdr>
          <w:top w:val="single" w:sz="4" w:space="1" w:color="auto"/>
          <w:left w:val="single" w:sz="4" w:space="4" w:color="auto"/>
          <w:bottom w:val="single" w:sz="4" w:space="1" w:color="auto"/>
          <w:right w:val="single" w:sz="4" w:space="4" w:color="auto"/>
        </w:pBdr>
      </w:pPr>
      <w:r>
        <w:t>use numeracy skills to gather and interpret data</w:t>
      </w:r>
    </w:p>
    <w:p w14:paraId="781E6BF8" w14:textId="77777777" w:rsidR="00C759F4" w:rsidRDefault="00C759F4" w:rsidP="00C759F4">
      <w:pPr>
        <w:pStyle w:val="ListParagraph"/>
        <w:numPr>
          <w:ilvl w:val="0"/>
          <w:numId w:val="5"/>
        </w:numPr>
        <w:pBdr>
          <w:top w:val="single" w:sz="4" w:space="1" w:color="auto"/>
          <w:left w:val="single" w:sz="4" w:space="4" w:color="auto"/>
          <w:bottom w:val="single" w:sz="4" w:space="1" w:color="auto"/>
          <w:right w:val="single" w:sz="4" w:space="4" w:color="auto"/>
        </w:pBdr>
      </w:pPr>
      <w:r>
        <w:t>discuss the relationship between transport options and greenhouse gas emissions</w:t>
      </w:r>
    </w:p>
    <w:p w14:paraId="4220F3B8" w14:textId="77777777" w:rsidR="00C759F4" w:rsidRDefault="00C759F4" w:rsidP="00C759F4">
      <w:pPr>
        <w:pStyle w:val="ListParagraph"/>
        <w:numPr>
          <w:ilvl w:val="0"/>
          <w:numId w:val="5"/>
        </w:numPr>
        <w:pBdr>
          <w:top w:val="single" w:sz="4" w:space="1" w:color="auto"/>
          <w:left w:val="single" w:sz="4" w:space="4" w:color="auto"/>
          <w:bottom w:val="single" w:sz="4" w:space="1" w:color="auto"/>
          <w:right w:val="single" w:sz="4" w:space="4" w:color="auto"/>
        </w:pBdr>
      </w:pPr>
      <w:r>
        <w:t>use and critique evidence from the Drive it Down! project as it relates to their own school</w:t>
      </w:r>
    </w:p>
    <w:p w14:paraId="05329F9B" w14:textId="77777777" w:rsidR="00C759F4" w:rsidRDefault="00C759F4" w:rsidP="00C759F4">
      <w:pPr>
        <w:pStyle w:val="ListParagraph"/>
        <w:numPr>
          <w:ilvl w:val="0"/>
          <w:numId w:val="5"/>
        </w:numPr>
        <w:pBdr>
          <w:top w:val="single" w:sz="4" w:space="1" w:color="auto"/>
          <w:left w:val="single" w:sz="4" w:space="4" w:color="auto"/>
          <w:bottom w:val="single" w:sz="4" w:space="1" w:color="auto"/>
          <w:right w:val="single" w:sz="4" w:space="4" w:color="auto"/>
        </w:pBdr>
      </w:pPr>
      <w:r>
        <w:t>consider ways to use this information to reduce their own school-gate emissions.</w:t>
      </w:r>
    </w:p>
    <w:p w14:paraId="0221B4E9" w14:textId="77777777" w:rsidR="00C759F4" w:rsidRDefault="00C759F4" w:rsidP="00C759F4">
      <w:pPr>
        <w:rPr>
          <w:b/>
          <w:bCs/>
        </w:rPr>
      </w:pPr>
    </w:p>
    <w:p w14:paraId="6225F994" w14:textId="77777777" w:rsidR="00C759F4" w:rsidRPr="00B277C0" w:rsidRDefault="00C759F4" w:rsidP="00C759F4">
      <w:pPr>
        <w:rPr>
          <w:b/>
          <w:bCs/>
        </w:rPr>
      </w:pPr>
      <w:r w:rsidRPr="35CE92D0">
        <w:rPr>
          <w:b/>
          <w:bCs/>
        </w:rPr>
        <w:t>For teachers</w:t>
      </w:r>
    </w:p>
    <w:p w14:paraId="65E47FAD" w14:textId="77777777" w:rsidR="00C759F4" w:rsidRDefault="00C759F4" w:rsidP="00C759F4">
      <w:pPr>
        <w:rPr>
          <w:b/>
        </w:rPr>
      </w:pPr>
    </w:p>
    <w:p w14:paraId="0A0309AF" w14:textId="77777777" w:rsidR="00C759F4" w:rsidRPr="00B277C0" w:rsidRDefault="00C759F4" w:rsidP="00C759F4">
      <w:pPr>
        <w:rPr>
          <w:b/>
          <w:bCs/>
          <w:i/>
          <w:iCs/>
        </w:rPr>
      </w:pPr>
      <w:r w:rsidRPr="00B277C0">
        <w:rPr>
          <w:b/>
          <w:bCs/>
          <w:i/>
          <w:iCs/>
        </w:rPr>
        <w:t>Introduction/background</w:t>
      </w:r>
    </w:p>
    <w:p w14:paraId="31973F63" w14:textId="77777777" w:rsidR="00C759F4" w:rsidRDefault="00C759F4" w:rsidP="00C759F4"/>
    <w:p w14:paraId="12679761" w14:textId="77777777" w:rsidR="00C759F4" w:rsidRDefault="00C759F4" w:rsidP="00C759F4">
      <w:r>
        <w:t xml:space="preserve">GNS Science and Meadowbank School used an Unlocking Curious Minds project to measure carbon dioxide and carbon monoxide emissions via a sensor near the school’s entrance. Data gathered from the sensor showed spikes in these greenhouse gases during the school drop-off times when compared to the school holidays. It inspired enviro leaders to </w:t>
      </w:r>
      <w:proofErr w:type="gramStart"/>
      <w:r>
        <w:t>take action</w:t>
      </w:r>
      <w:proofErr w:type="gramEnd"/>
      <w:r>
        <w:t xml:space="preserve"> by organising active transport activities.</w:t>
      </w:r>
    </w:p>
    <w:p w14:paraId="2B27129F" w14:textId="77777777" w:rsidR="00C759F4" w:rsidRDefault="00C759F4" w:rsidP="00C759F4"/>
    <w:p w14:paraId="150221F3" w14:textId="77777777" w:rsidR="00C759F4" w:rsidRDefault="00C759F4" w:rsidP="00C759F4">
      <w:r>
        <w:t>Use the Meadowbank School experience as a context to explore and record transport data, with an option to create student-led initiatives to reduce emissions at your own school gate!</w:t>
      </w:r>
    </w:p>
    <w:p w14:paraId="0DDD25FF" w14:textId="77777777" w:rsidR="00C759F4" w:rsidRDefault="00C759F4" w:rsidP="00C759F4"/>
    <w:p w14:paraId="78075C62" w14:textId="77777777" w:rsidR="00C759F4" w:rsidRDefault="00C759F4" w:rsidP="00C759F4">
      <w:pPr>
        <w:rPr>
          <w:b/>
          <w:bCs/>
          <w:i/>
          <w:iCs/>
        </w:rPr>
      </w:pPr>
      <w:r w:rsidRPr="35CE92D0">
        <w:rPr>
          <w:b/>
          <w:bCs/>
          <w:i/>
          <w:iCs/>
        </w:rPr>
        <w:t>What to do</w:t>
      </w:r>
    </w:p>
    <w:p w14:paraId="4D701702" w14:textId="77777777" w:rsidR="00C759F4" w:rsidRDefault="00C759F4" w:rsidP="00C759F4"/>
    <w:p w14:paraId="602F87DC" w14:textId="3D2CE1FD" w:rsidR="00C759F4" w:rsidRDefault="00C759F4" w:rsidP="00C759F4">
      <w:pPr>
        <w:pStyle w:val="ListParagraph"/>
        <w:numPr>
          <w:ilvl w:val="0"/>
          <w:numId w:val="4"/>
        </w:numPr>
        <w:ind w:left="360"/>
      </w:pPr>
      <w:r>
        <w:t xml:space="preserve">Read the GNS Science article </w:t>
      </w:r>
      <w:hyperlink r:id="rId7" w:history="1">
        <w:r w:rsidRPr="007F0F3D">
          <w:rPr>
            <w:rStyle w:val="Hyperlink"/>
          </w:rPr>
          <w:t>Climate science inspires students to drive down school-run carbon dioxide emissions</w:t>
        </w:r>
      </w:hyperlink>
      <w:r>
        <w:t>.</w:t>
      </w:r>
    </w:p>
    <w:p w14:paraId="1A7BDE7D" w14:textId="77777777" w:rsidR="00C759F4" w:rsidRDefault="00C759F4" w:rsidP="00C759F4">
      <w:pPr>
        <w:pStyle w:val="ListParagraph"/>
        <w:ind w:left="360"/>
      </w:pPr>
    </w:p>
    <w:p w14:paraId="1D13138A" w14:textId="77777777" w:rsidR="00C759F4" w:rsidRDefault="00C759F4" w:rsidP="00C759F4">
      <w:pPr>
        <w:pStyle w:val="ListParagraph"/>
        <w:numPr>
          <w:ilvl w:val="0"/>
          <w:numId w:val="4"/>
        </w:numPr>
        <w:ind w:left="360"/>
      </w:pPr>
      <w:r>
        <w:t xml:space="preserve">Observe and discuss the graph displaying the data regarding carbon dioxide (CO₂) and carbon monoxide (CO) concentrations that occur during the day. </w:t>
      </w:r>
    </w:p>
    <w:p w14:paraId="7FE15C76" w14:textId="77777777" w:rsidR="00C759F4" w:rsidRDefault="00C759F4" w:rsidP="00C759F4">
      <w:pPr>
        <w:pStyle w:val="ListParagraph"/>
        <w:ind w:left="360"/>
      </w:pPr>
    </w:p>
    <w:p w14:paraId="03A51814" w14:textId="77777777" w:rsidR="00C759F4" w:rsidRDefault="00C759F4" w:rsidP="00C759F4">
      <w:pPr>
        <w:pStyle w:val="ListParagraph"/>
        <w:numPr>
          <w:ilvl w:val="0"/>
          <w:numId w:val="4"/>
        </w:numPr>
        <w:ind w:left="360"/>
      </w:pPr>
      <w:r>
        <w:t>Discuss the quotes:</w:t>
      </w:r>
    </w:p>
    <w:p w14:paraId="6F995875" w14:textId="77777777" w:rsidR="00C759F4" w:rsidRDefault="00C759F4" w:rsidP="00C759F4">
      <w:pPr>
        <w:pStyle w:val="ListParagraph"/>
        <w:numPr>
          <w:ilvl w:val="0"/>
          <w:numId w:val="3"/>
        </w:numPr>
        <w:ind w:left="720"/>
      </w:pPr>
      <w:r w:rsidRPr="00C759F4">
        <w:rPr>
          <w:color w:val="153D63" w:themeColor="text2" w:themeTint="E6"/>
        </w:rPr>
        <w:t xml:space="preserve">“The sensor has enabled the students to visualise the invisible, and it’s been exciting to see how this has captured their imaginations and inspired them to create their own campaign.” </w:t>
      </w:r>
      <w:r w:rsidRPr="00C759F4">
        <w:rPr>
          <w:i/>
          <w:iCs/>
        </w:rPr>
        <w:t>(Celia Wells, GNS Science)</w:t>
      </w:r>
    </w:p>
    <w:p w14:paraId="68E36C40" w14:textId="77777777" w:rsidR="00C759F4" w:rsidRDefault="00C759F4" w:rsidP="00C759F4">
      <w:pPr>
        <w:pStyle w:val="ListParagraph"/>
        <w:numPr>
          <w:ilvl w:val="0"/>
          <w:numId w:val="3"/>
        </w:numPr>
        <w:ind w:left="720"/>
      </w:pPr>
      <w:r w:rsidRPr="00C759F4">
        <w:rPr>
          <w:color w:val="153D63" w:themeColor="text2" w:themeTint="E6"/>
        </w:rPr>
        <w:t xml:space="preserve">“It shocked us seeing the spike in the morning during drop off time and we knew we could take action to reduce this, but we needed to get the whole community involved – we couldn’t do it alone.” </w:t>
      </w:r>
      <w:r w:rsidRPr="00C759F4">
        <w:rPr>
          <w:i/>
          <w:iCs/>
        </w:rPr>
        <w:t>(Ava, Meadowbank Year 6 Enviro Leader student)</w:t>
      </w:r>
    </w:p>
    <w:p w14:paraId="77BCB4E1" w14:textId="77777777" w:rsidR="00C759F4" w:rsidRDefault="00C759F4" w:rsidP="00C759F4">
      <w:pPr>
        <w:pStyle w:val="ListParagraph"/>
        <w:ind w:left="360"/>
      </w:pPr>
    </w:p>
    <w:p w14:paraId="1D740F94" w14:textId="77777777" w:rsidR="00C759F4" w:rsidRDefault="00C759F4" w:rsidP="00C759F4">
      <w:pPr>
        <w:pStyle w:val="ListParagraph"/>
        <w:numPr>
          <w:ilvl w:val="0"/>
          <w:numId w:val="4"/>
        </w:numPr>
        <w:ind w:left="360"/>
      </w:pPr>
      <w:r>
        <w:t>Discuss modes of transport that do and do not emit greenhouse gases – for example, cars and buses, hybrid cars and buses, electric cars and buses and active transport options like walking, bikes and scooters.</w:t>
      </w:r>
    </w:p>
    <w:p w14:paraId="088673B7" w14:textId="77777777" w:rsidR="00C759F4" w:rsidRDefault="00C759F4" w:rsidP="00C759F4">
      <w:pPr>
        <w:pStyle w:val="ListParagraph"/>
        <w:ind w:left="360"/>
      </w:pPr>
    </w:p>
    <w:p w14:paraId="2911E9E1" w14:textId="77777777" w:rsidR="00C759F4" w:rsidRDefault="00C759F4" w:rsidP="00C759F4">
      <w:pPr>
        <w:pStyle w:val="ListParagraph"/>
        <w:numPr>
          <w:ilvl w:val="0"/>
          <w:numId w:val="4"/>
        </w:numPr>
        <w:ind w:left="360"/>
      </w:pPr>
      <w:r>
        <w:t>Create and conduct a survey regarding transport options. Collect and graph the data.</w:t>
      </w:r>
    </w:p>
    <w:p w14:paraId="2F4631A2" w14:textId="77777777" w:rsidR="00C759F4" w:rsidRDefault="00C759F4" w:rsidP="00C759F4">
      <w:pPr>
        <w:pStyle w:val="ListParagraph"/>
        <w:ind w:left="360"/>
      </w:pPr>
    </w:p>
    <w:p w14:paraId="32EAE5F9" w14:textId="77777777" w:rsidR="00C759F4" w:rsidRDefault="00C759F4" w:rsidP="00C759F4">
      <w:pPr>
        <w:pStyle w:val="ListParagraph"/>
        <w:numPr>
          <w:ilvl w:val="0"/>
          <w:numId w:val="4"/>
        </w:numPr>
        <w:ind w:left="360"/>
      </w:pPr>
      <w:r>
        <w:t xml:space="preserve">Consider what actions the students/class/school might be able to take – using the Meadowbank School experience as an example. </w:t>
      </w:r>
    </w:p>
    <w:p w14:paraId="78855E4A" w14:textId="77777777" w:rsidR="00C759F4" w:rsidRDefault="00C759F4" w:rsidP="00C759F4"/>
    <w:p w14:paraId="2F7F3F1C" w14:textId="77777777" w:rsidR="00C759F4" w:rsidRDefault="00C759F4" w:rsidP="00C759F4">
      <w:pPr>
        <w:rPr>
          <w:b/>
          <w:bCs/>
          <w:i/>
          <w:iCs/>
        </w:rPr>
      </w:pPr>
      <w:r w:rsidRPr="35CE92D0">
        <w:rPr>
          <w:b/>
          <w:bCs/>
          <w:i/>
          <w:iCs/>
        </w:rPr>
        <w:t>Considerations</w:t>
      </w:r>
    </w:p>
    <w:p w14:paraId="3FA4E353" w14:textId="77777777" w:rsidR="00C759F4" w:rsidRDefault="00C759F4" w:rsidP="00C759F4">
      <w:pPr>
        <w:rPr>
          <w:b/>
          <w:bCs/>
          <w:i/>
          <w:iCs/>
        </w:rPr>
      </w:pPr>
    </w:p>
    <w:p w14:paraId="33B1ABF0" w14:textId="77777777" w:rsidR="00C759F4" w:rsidRDefault="00C759F4" w:rsidP="00C759F4">
      <w:pPr>
        <w:pStyle w:val="ListParagraph"/>
        <w:numPr>
          <w:ilvl w:val="0"/>
          <w:numId w:val="2"/>
        </w:numPr>
      </w:pPr>
      <w:r>
        <w:t xml:space="preserve">Keep in mind Ava’s statement, “We needed to get the whole community involved – we couldn’t do it alone.” </w:t>
      </w:r>
    </w:p>
    <w:p w14:paraId="421DE649" w14:textId="77777777" w:rsidR="00C759F4" w:rsidRDefault="00C759F4" w:rsidP="00C759F4">
      <w:pPr>
        <w:pStyle w:val="ListParagraph"/>
        <w:numPr>
          <w:ilvl w:val="0"/>
          <w:numId w:val="2"/>
        </w:numPr>
      </w:pPr>
      <w:r>
        <w:t>Some whānau may have no option but to drive students to school. Consider how ākonga in these circumstances can participate – for example, creating posters/announcements to publicise events or creating and editing videos during the events.</w:t>
      </w:r>
    </w:p>
    <w:p w14:paraId="10185F08" w14:textId="77777777" w:rsidR="00C759F4" w:rsidRDefault="00C759F4" w:rsidP="00C759F4"/>
    <w:p w14:paraId="12026796" w14:textId="77777777" w:rsidR="00C759F4" w:rsidRDefault="00C759F4" w:rsidP="00C759F4">
      <w:pPr>
        <w:rPr>
          <w:b/>
          <w:bCs/>
          <w:i/>
          <w:iCs/>
        </w:rPr>
      </w:pPr>
      <w:r w:rsidRPr="35CE92D0">
        <w:rPr>
          <w:b/>
          <w:bCs/>
          <w:i/>
          <w:iCs/>
        </w:rPr>
        <w:t>Extension ideas</w:t>
      </w:r>
    </w:p>
    <w:p w14:paraId="014CA962" w14:textId="77777777" w:rsidR="00C759F4" w:rsidRDefault="00C759F4" w:rsidP="00C759F4"/>
    <w:p w14:paraId="750AB771" w14:textId="14ADC0B9" w:rsidR="00C759F4" w:rsidRDefault="00C759F4" w:rsidP="00C759F4">
      <w:pPr>
        <w:pStyle w:val="ListParagraph"/>
        <w:numPr>
          <w:ilvl w:val="0"/>
          <w:numId w:val="1"/>
        </w:numPr>
      </w:pPr>
      <w:r>
        <w:t xml:space="preserve">Explore the concept of </w:t>
      </w:r>
      <w:hyperlink r:id="rId8" w:history="1">
        <w:r w:rsidRPr="00C759F4">
          <w:rPr>
            <w:rStyle w:val="Hyperlink"/>
          </w:rPr>
          <w:t>atmospheric mixing</w:t>
        </w:r>
      </w:hyperlink>
      <w:r>
        <w:t>. This explains why the data does not show an equivalent spike during the afternoon school pick-up.</w:t>
      </w:r>
    </w:p>
    <w:p w14:paraId="372C55A6" w14:textId="2D988217" w:rsidR="00C759F4" w:rsidRDefault="00C759F4" w:rsidP="00C759F4">
      <w:pPr>
        <w:pStyle w:val="ListParagraph"/>
        <w:numPr>
          <w:ilvl w:val="0"/>
          <w:numId w:val="1"/>
        </w:numPr>
      </w:pPr>
      <w:r>
        <w:t xml:space="preserve">Observe and discuss the </w:t>
      </w:r>
      <w:hyperlink r:id="rId9" w:history="1">
        <w:r w:rsidRPr="00C759F4">
          <w:rPr>
            <w:rStyle w:val="Hyperlink"/>
          </w:rPr>
          <w:t>carbon cycle in cities</w:t>
        </w:r>
      </w:hyperlink>
      <w:r>
        <w:t xml:space="preserve"> diagram. Transport is just one source of greenhouse gas emissions in cities. Discuss the arrows – direction (carbon sources and sinks), size (indicates higher/lower emissions) and colour (fossil fuel or biogenic emissions).</w:t>
      </w:r>
    </w:p>
    <w:p w14:paraId="426E39E8" w14:textId="3A5874B8" w:rsidR="00D15814" w:rsidRDefault="00C759F4" w:rsidP="00D15814">
      <w:pPr>
        <w:pStyle w:val="ListParagraph"/>
        <w:numPr>
          <w:ilvl w:val="0"/>
          <w:numId w:val="1"/>
        </w:numPr>
      </w:pPr>
      <w:r>
        <w:t>Using this diagram, discuss how else might we be able to reduce carbon dioxide emissions.</w:t>
      </w:r>
    </w:p>
    <w:p w14:paraId="1AFBEEC0" w14:textId="77777777" w:rsidR="00D15814" w:rsidRDefault="00D15814"/>
    <w:p w14:paraId="311ACA90" w14:textId="77777777" w:rsidR="00D15814" w:rsidRPr="00D15814" w:rsidRDefault="00D15814" w:rsidP="00D15814">
      <w:pPr>
        <w:rPr>
          <w:b/>
          <w:bCs/>
          <w:i/>
          <w:iCs/>
          <w:lang w:val="en-US"/>
        </w:rPr>
      </w:pPr>
      <w:r w:rsidRPr="00D15814">
        <w:rPr>
          <w:b/>
          <w:bCs/>
          <w:i/>
          <w:iCs/>
          <w:lang w:val="en-NZ"/>
        </w:rPr>
        <w:t>Acknowledgment</w:t>
      </w:r>
      <w:r w:rsidRPr="00D15814">
        <w:rPr>
          <w:b/>
          <w:bCs/>
          <w:i/>
          <w:iCs/>
          <w:lang w:val="en-US"/>
        </w:rPr>
        <w:t> </w:t>
      </w:r>
    </w:p>
    <w:p w14:paraId="233A2CA2" w14:textId="77777777" w:rsidR="00D15814" w:rsidRDefault="00D15814" w:rsidP="00D15814">
      <w:pPr>
        <w:rPr>
          <w:lang w:val="en-NZ"/>
        </w:rPr>
      </w:pPr>
    </w:p>
    <w:p w14:paraId="6BD9B57A" w14:textId="6E829926" w:rsidR="00D15814" w:rsidRPr="00D15814" w:rsidRDefault="00D15814" w:rsidP="00D15814">
      <w:pPr>
        <w:rPr>
          <w:lang w:val="en-US"/>
        </w:rPr>
      </w:pPr>
      <w:r w:rsidRPr="00D15814">
        <w:rPr>
          <w:lang w:val="en-NZ"/>
        </w:rPr>
        <w:t xml:space="preserve">This resource has been adapted from </w:t>
      </w:r>
      <w:hyperlink r:id="rId10" w:tgtFrame="_blank" w:history="1">
        <w:r w:rsidRPr="00D15814">
          <w:rPr>
            <w:rStyle w:val="Hyperlink"/>
            <w:lang w:val="en-NZ"/>
          </w:rPr>
          <w:t>resources</w:t>
        </w:r>
      </w:hyperlink>
      <w:r w:rsidRPr="00D15814">
        <w:rPr>
          <w:lang w:val="en-NZ"/>
        </w:rPr>
        <w:t xml:space="preserve"> by GNS Science for the </w:t>
      </w:r>
      <w:hyperlink r:id="rId11" w:tgtFrame="_blank" w:history="1">
        <w:r w:rsidRPr="00D15814">
          <w:rPr>
            <w:rStyle w:val="Hyperlink"/>
            <w:lang w:val="en-NZ"/>
          </w:rPr>
          <w:t>Drive it Down! Measuring and mitigating school-gate emissions project</w:t>
        </w:r>
      </w:hyperlink>
      <w:r w:rsidRPr="00D15814">
        <w:rPr>
          <w:lang w:val="en-NZ"/>
        </w:rPr>
        <w:t>.</w:t>
      </w:r>
    </w:p>
    <w:p w14:paraId="615B58D8" w14:textId="77777777" w:rsidR="00D15814" w:rsidRDefault="00D15814"/>
    <w:p w14:paraId="3CC7B2DE" w14:textId="77777777" w:rsidR="00D15814" w:rsidRDefault="00D15814"/>
    <w:p w14:paraId="4797BFF2" w14:textId="77777777" w:rsidR="00D15814" w:rsidRDefault="00D15814"/>
    <w:sectPr w:rsidR="00D15814" w:rsidSect="00C759F4">
      <w:headerReference w:type="default" r:id="rId12"/>
      <w:footerReference w:type="default" r:id="rId13"/>
      <w:pgSz w:w="11907" w:h="16840"/>
      <w:pgMar w:top="1134" w:right="1134" w:bottom="1134" w:left="1134" w:header="46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00D9" w14:textId="77777777" w:rsidR="00BD1C7C" w:rsidRDefault="00BD1C7C" w:rsidP="00C759F4">
      <w:r>
        <w:separator/>
      </w:r>
    </w:p>
  </w:endnote>
  <w:endnote w:type="continuationSeparator" w:id="0">
    <w:p w14:paraId="1E68D0E5" w14:textId="77777777" w:rsidR="00BD1C7C" w:rsidRDefault="00BD1C7C" w:rsidP="00C7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1984" w14:textId="77777777" w:rsidR="00C759F4" w:rsidRPr="00233432" w:rsidRDefault="00C759F4">
    <w:pPr>
      <w:tabs>
        <w:tab w:val="center" w:pos="4320"/>
        <w:tab w:val="right" w:pos="8640"/>
      </w:tabs>
      <w:rPr>
        <w:color w:val="3366FF"/>
        <w:sz w:val="4"/>
        <w:szCs w:val="4"/>
      </w:rPr>
    </w:pPr>
  </w:p>
  <w:p w14:paraId="7F97BEBB" w14:textId="77777777" w:rsidR="00C759F4" w:rsidRDefault="00C759F4">
    <w:pPr>
      <w:tabs>
        <w:tab w:val="center" w:pos="4320"/>
        <w:tab w:val="right" w:pos="8640"/>
      </w:tabs>
      <w:rPr>
        <w:color w:val="3366FF"/>
        <w:sz w:val="18"/>
        <w:szCs w:val="18"/>
      </w:rPr>
    </w:pPr>
    <w:r>
      <w:rPr>
        <w:color w:val="3366FF"/>
        <w:sz w:val="18"/>
        <w:szCs w:val="18"/>
      </w:rPr>
      <w:t xml:space="preserve">© Copyright. Science Learning Hub – </w:t>
    </w:r>
    <w:proofErr w:type="spellStart"/>
    <w:r>
      <w:rPr>
        <w:color w:val="3366FF"/>
        <w:sz w:val="18"/>
        <w:szCs w:val="18"/>
      </w:rPr>
      <w:t>Pokapū</w:t>
    </w:r>
    <w:proofErr w:type="spellEnd"/>
    <w:r>
      <w:rPr>
        <w:color w:val="3366FF"/>
        <w:sz w:val="18"/>
        <w:szCs w:val="18"/>
      </w:rPr>
      <w:t xml:space="preserve"> </w:t>
    </w:r>
    <w:proofErr w:type="spellStart"/>
    <w:r>
      <w:rPr>
        <w:color w:val="3366FF"/>
        <w:sz w:val="18"/>
        <w:szCs w:val="18"/>
      </w:rPr>
      <w:t>Akoranga</w:t>
    </w:r>
    <w:proofErr w:type="spellEnd"/>
    <w:r>
      <w:rPr>
        <w:color w:val="3366FF"/>
        <w:sz w:val="18"/>
        <w:szCs w:val="18"/>
      </w:rPr>
      <w:t xml:space="preserve"> </w:t>
    </w:r>
    <w:proofErr w:type="spellStart"/>
    <w:r>
      <w:rPr>
        <w:color w:val="3366FF"/>
        <w:sz w:val="18"/>
        <w:szCs w:val="18"/>
      </w:rPr>
      <w:t>Pūtaiao</w:t>
    </w:r>
    <w:proofErr w:type="spellEnd"/>
    <w:r>
      <w:rPr>
        <w:color w:val="3366FF"/>
        <w:sz w:val="18"/>
        <w:szCs w:val="18"/>
      </w:rPr>
      <w:t>, The University of Waikato.</w:t>
    </w:r>
    <w:r>
      <w:rPr>
        <w:color w:val="3366FF"/>
        <w:sz w:val="18"/>
        <w:szCs w:val="18"/>
      </w:rPr>
      <w:tab/>
    </w:r>
    <w:r>
      <w:rPr>
        <w:color w:val="3366FF"/>
        <w:sz w:val="18"/>
        <w:szCs w:val="18"/>
      </w:rPr>
      <w:tab/>
    </w:r>
    <w:r w:rsidRPr="00875B12">
      <w:rPr>
        <w:color w:val="2B579A"/>
        <w:sz w:val="18"/>
        <w:szCs w:val="18"/>
      </w:rPr>
      <w:fldChar w:fldCharType="begin"/>
    </w:r>
    <w:r w:rsidRPr="00875B12">
      <w:rPr>
        <w:sz w:val="18"/>
        <w:szCs w:val="18"/>
      </w:rPr>
      <w:instrText>PAGE</w:instrText>
    </w:r>
    <w:r w:rsidRPr="00875B12">
      <w:rPr>
        <w:color w:val="2B579A"/>
        <w:sz w:val="18"/>
        <w:szCs w:val="18"/>
      </w:rPr>
      <w:fldChar w:fldCharType="separate"/>
    </w:r>
    <w:r w:rsidRPr="00875B12">
      <w:rPr>
        <w:noProof/>
        <w:sz w:val="18"/>
        <w:szCs w:val="18"/>
      </w:rPr>
      <w:t>1</w:t>
    </w:r>
    <w:r w:rsidRPr="00875B12">
      <w:rPr>
        <w:color w:val="2B579A"/>
        <w:sz w:val="18"/>
        <w:szCs w:val="18"/>
      </w:rPr>
      <w:fldChar w:fldCharType="end"/>
    </w:r>
    <w:r>
      <w:rPr>
        <w:color w:val="3366FF"/>
        <w:sz w:val="18"/>
        <w:szCs w:val="18"/>
      </w:rPr>
      <w:t xml:space="preserve"> </w:t>
    </w:r>
  </w:p>
  <w:bookmarkStart w:id="1" w:name="_2et92p0" w:colFirst="0" w:colLast="0"/>
  <w:bookmarkEnd w:id="1"/>
  <w:p w14:paraId="7B7D0DB5" w14:textId="77777777" w:rsidR="00C759F4" w:rsidRDefault="00C759F4">
    <w:pPr>
      <w:tabs>
        <w:tab w:val="center" w:pos="4320"/>
        <w:tab w:val="right" w:pos="8640"/>
      </w:tabs>
      <w:ind w:right="360"/>
      <w:rPr>
        <w:color w:val="3366FF"/>
      </w:rPr>
    </w:pPr>
    <w:r>
      <w:rPr>
        <w:color w:val="2B579A"/>
        <w:shd w:val="clear" w:color="auto" w:fill="E6E6E6"/>
      </w:rPr>
      <w:fldChar w:fldCharType="begin"/>
    </w:r>
    <w:r>
      <w:instrText>HYPERLINK "http://www.sciencelearn.org.nz" \h</w:instrText>
    </w:r>
    <w:r>
      <w:rPr>
        <w:color w:val="2B579A"/>
        <w:shd w:val="clear" w:color="auto" w:fill="E6E6E6"/>
      </w:rPr>
    </w:r>
    <w:r>
      <w:rPr>
        <w:color w:val="2B579A"/>
        <w:shd w:val="clear" w:color="auto" w:fill="E6E6E6"/>
      </w:rPr>
      <w:fldChar w:fldCharType="separate"/>
    </w:r>
    <w:r>
      <w:rPr>
        <w:color w:val="0000FF"/>
        <w:sz w:val="18"/>
        <w:szCs w:val="18"/>
        <w:u w:val="single"/>
      </w:rPr>
      <w:t>www.sciencelearn.org.nz</w:t>
    </w:r>
    <w:r>
      <w:rPr>
        <w:color w:val="0000FF"/>
        <w:sz w:val="18"/>
        <w:szCs w:val="18"/>
        <w:u w:val="single"/>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A747" w14:textId="77777777" w:rsidR="00BD1C7C" w:rsidRDefault="00BD1C7C" w:rsidP="00C759F4">
      <w:r>
        <w:separator/>
      </w:r>
    </w:p>
  </w:footnote>
  <w:footnote w:type="continuationSeparator" w:id="0">
    <w:p w14:paraId="03F46AEF" w14:textId="77777777" w:rsidR="00BD1C7C" w:rsidRDefault="00BD1C7C" w:rsidP="00C7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tblInd w:w="5" w:type="dxa"/>
      <w:tblLayout w:type="fixed"/>
      <w:tblCellMar>
        <w:left w:w="0" w:type="dxa"/>
      </w:tblCellMar>
      <w:tblLook w:val="04A0" w:firstRow="1" w:lastRow="0" w:firstColumn="1" w:lastColumn="0" w:noHBand="0" w:noVBand="1"/>
    </w:tblPr>
    <w:tblGrid>
      <w:gridCol w:w="2400"/>
      <w:gridCol w:w="7234"/>
    </w:tblGrid>
    <w:tr w:rsidR="00C759F4" w:rsidRPr="00251C18" w14:paraId="1125D9F9" w14:textId="77777777" w:rsidTr="00A82994">
      <w:tc>
        <w:tcPr>
          <w:tcW w:w="2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6E5C66" w14:textId="39EF4597" w:rsidR="00C759F4" w:rsidRPr="00251C18" w:rsidRDefault="00C759F4" w:rsidP="00C759F4">
          <w:pPr>
            <w:pStyle w:val="Header"/>
            <w:rPr>
              <w:rFonts w:cs="Arial"/>
              <w:color w:val="3366FF"/>
            </w:rPr>
          </w:pPr>
          <w:r>
            <w:rPr>
              <w:rFonts w:cs="Arial"/>
              <w:noProof/>
              <w:color w:val="3366FF"/>
            </w:rPr>
            <w:drawing>
              <wp:anchor distT="0" distB="0" distL="114300" distR="114300" simplePos="0" relativeHeight="251659264" behindDoc="0" locked="0" layoutInCell="1" allowOverlap="1" wp14:anchorId="75F282F5" wp14:editId="454E6F92">
                <wp:simplePos x="0" y="0"/>
                <wp:positionH relativeFrom="column">
                  <wp:posOffset>100965</wp:posOffset>
                </wp:positionH>
                <wp:positionV relativeFrom="paragraph">
                  <wp:posOffset>35560</wp:posOffset>
                </wp:positionV>
                <wp:extent cx="1377950" cy="588010"/>
                <wp:effectExtent l="0" t="0" r="0" b="2540"/>
                <wp:wrapNone/>
                <wp:docPr id="1485098048" name="Picture 1" descr="Blue and white logo of the Science Learning Hub – Pokapū Akoranga Pūtaiao, www.sciencelear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Blue and white logo of the Science Learning Hub – Pokapū Akoranga Pūtaiao, www.sciencelearn.org.nz."/>
                        <pic:cNvPicPr>
                          <a:picLocks noChangeAspect="1" noChangeArrowheads="1"/>
                        </pic:cNvPicPr>
                      </pic:nvPicPr>
                      <pic:blipFill>
                        <a:blip r:embed="rId1">
                          <a:extLst>
                            <a:ext uri="{28A0092B-C50C-407E-A947-70E740481C1C}">
                              <a14:useLocalDpi xmlns:a14="http://schemas.microsoft.com/office/drawing/2010/main" val="0"/>
                            </a:ext>
                          </a:extLst>
                        </a:blip>
                        <a:srcRect t="880" b="880"/>
                        <a:stretch>
                          <a:fillRect/>
                        </a:stretch>
                      </pic:blipFill>
                      <pic:spPr bwMode="auto">
                        <a:xfrm>
                          <a:off x="0" y="0"/>
                          <a:ext cx="1377950" cy="588010"/>
                        </a:xfrm>
                        <a:prstGeom prst="rect">
                          <a:avLst/>
                        </a:prstGeom>
                        <a:noFill/>
                      </pic:spPr>
                    </pic:pic>
                  </a:graphicData>
                </a:graphic>
                <wp14:sizeRelH relativeFrom="page">
                  <wp14:pctWidth>0</wp14:pctWidth>
                </wp14:sizeRelH>
                <wp14:sizeRelV relativeFrom="page">
                  <wp14:pctHeight>0</wp14:pctHeight>
                </wp14:sizeRelV>
              </wp:anchor>
            </w:drawing>
          </w:r>
        </w:p>
      </w:tc>
      <w:tc>
        <w:tcPr>
          <w:tcW w:w="72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F76F7A" w14:textId="77777777" w:rsidR="00C759F4" w:rsidRDefault="00C759F4" w:rsidP="00C759F4">
          <w:pPr>
            <w:pStyle w:val="Header"/>
            <w:tabs>
              <w:tab w:val="left" w:pos="1800"/>
            </w:tabs>
            <w:ind w:left="1800" w:hanging="1800"/>
            <w:rPr>
              <w:rFonts w:cs="Arial"/>
              <w:color w:val="3366FF"/>
            </w:rPr>
          </w:pPr>
        </w:p>
        <w:p w14:paraId="3ADB7BB6" w14:textId="7C558C61" w:rsidR="00C759F4" w:rsidRPr="00D63C30" w:rsidRDefault="00C759F4" w:rsidP="00C759F4">
          <w:pPr>
            <w:pStyle w:val="Header"/>
            <w:tabs>
              <w:tab w:val="left" w:pos="1800"/>
            </w:tabs>
            <w:ind w:left="1800" w:hanging="1800"/>
            <w:rPr>
              <w:rFonts w:cs="Arial"/>
              <w:color w:val="3366FF"/>
            </w:rPr>
          </w:pPr>
          <w:r w:rsidRPr="00D63C30">
            <w:rPr>
              <w:rFonts w:cs="Arial"/>
              <w:color w:val="3366FF"/>
            </w:rPr>
            <w:t xml:space="preserve">Activity: </w:t>
          </w:r>
          <w:hyperlink r:id="rId2" w:tgtFrame="_blank" w:history="1">
            <w:r>
              <w:rPr>
                <w:rStyle w:val="Hyperlink"/>
              </w:rPr>
              <w:t>Drive it Down! – reducing emissions at your school</w:t>
            </w:r>
          </w:hyperlink>
        </w:p>
      </w:tc>
    </w:tr>
  </w:tbl>
  <w:p w14:paraId="7427EBA9" w14:textId="46EE2ADD" w:rsidR="00C759F4" w:rsidRDefault="00C759F4" w:rsidP="00C759F4">
    <w:pPr>
      <w:pStyle w:val="Header"/>
      <w:rPr>
        <w:rFonts w:ascii="Arial" w:hAnsi="Arial" w:cs="Arial"/>
        <w:color w:val="3366FF"/>
        <w:sz w:val="18"/>
        <w:szCs w:val="18"/>
      </w:rPr>
    </w:pPr>
  </w:p>
  <w:p w14:paraId="3A88BA2A" w14:textId="17582377" w:rsidR="00C759F4" w:rsidRPr="00D63C30" w:rsidRDefault="00C759F4" w:rsidP="00C759F4">
    <w:pPr>
      <w:pStyle w:val="Header"/>
    </w:pPr>
    <w:r>
      <w:rPr>
        <w:rFonts w:ascii="Arial" w:hAnsi="Arial" w:cs="Arial"/>
        <w:color w:val="3366FF"/>
        <w:sz w:val="18"/>
        <w:szCs w:val="18"/>
      </w:rPr>
      <w:t xml:space="preserve"> </w:t>
    </w:r>
  </w:p>
  <w:p w14:paraId="46FE254E" w14:textId="77777777" w:rsidR="00C759F4" w:rsidRDefault="00C75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3ED16"/>
    <w:multiLevelType w:val="hybridMultilevel"/>
    <w:tmpl w:val="7202139C"/>
    <w:lvl w:ilvl="0" w:tplc="9E9092F2">
      <w:start w:val="1"/>
      <w:numFmt w:val="decimal"/>
      <w:lvlText w:val="%1."/>
      <w:lvlJc w:val="left"/>
      <w:pPr>
        <w:ind w:left="720" w:hanging="360"/>
      </w:pPr>
    </w:lvl>
    <w:lvl w:ilvl="1" w:tplc="E55C8A48">
      <w:start w:val="1"/>
      <w:numFmt w:val="lowerLetter"/>
      <w:lvlText w:val="%2."/>
      <w:lvlJc w:val="left"/>
      <w:pPr>
        <w:ind w:left="1440" w:hanging="360"/>
      </w:pPr>
    </w:lvl>
    <w:lvl w:ilvl="2" w:tplc="874AAEAE">
      <w:start w:val="1"/>
      <w:numFmt w:val="lowerRoman"/>
      <w:lvlText w:val="%3."/>
      <w:lvlJc w:val="right"/>
      <w:pPr>
        <w:ind w:left="2160" w:hanging="180"/>
      </w:pPr>
    </w:lvl>
    <w:lvl w:ilvl="3" w:tplc="E6307FE6">
      <w:start w:val="1"/>
      <w:numFmt w:val="decimal"/>
      <w:lvlText w:val="%4."/>
      <w:lvlJc w:val="left"/>
      <w:pPr>
        <w:ind w:left="2880" w:hanging="360"/>
      </w:pPr>
    </w:lvl>
    <w:lvl w:ilvl="4" w:tplc="FE386D52">
      <w:start w:val="1"/>
      <w:numFmt w:val="lowerLetter"/>
      <w:lvlText w:val="%5."/>
      <w:lvlJc w:val="left"/>
      <w:pPr>
        <w:ind w:left="3600" w:hanging="360"/>
      </w:pPr>
    </w:lvl>
    <w:lvl w:ilvl="5" w:tplc="60EE0B00">
      <w:start w:val="1"/>
      <w:numFmt w:val="lowerRoman"/>
      <w:lvlText w:val="%6."/>
      <w:lvlJc w:val="right"/>
      <w:pPr>
        <w:ind w:left="4320" w:hanging="180"/>
      </w:pPr>
    </w:lvl>
    <w:lvl w:ilvl="6" w:tplc="5E2E8FDA">
      <w:start w:val="1"/>
      <w:numFmt w:val="decimal"/>
      <w:lvlText w:val="%7."/>
      <w:lvlJc w:val="left"/>
      <w:pPr>
        <w:ind w:left="5040" w:hanging="360"/>
      </w:pPr>
    </w:lvl>
    <w:lvl w:ilvl="7" w:tplc="3822E774">
      <w:start w:val="1"/>
      <w:numFmt w:val="lowerLetter"/>
      <w:lvlText w:val="%8."/>
      <w:lvlJc w:val="left"/>
      <w:pPr>
        <w:ind w:left="5760" w:hanging="360"/>
      </w:pPr>
    </w:lvl>
    <w:lvl w:ilvl="8" w:tplc="DBF4C5D4">
      <w:start w:val="1"/>
      <w:numFmt w:val="lowerRoman"/>
      <w:lvlText w:val="%9."/>
      <w:lvlJc w:val="right"/>
      <w:pPr>
        <w:ind w:left="6480" w:hanging="180"/>
      </w:pPr>
    </w:lvl>
  </w:abstractNum>
  <w:abstractNum w:abstractNumId="1" w15:restartNumberingAfterBreak="0">
    <w:nsid w:val="6241C75C"/>
    <w:multiLevelType w:val="hybridMultilevel"/>
    <w:tmpl w:val="4C605414"/>
    <w:lvl w:ilvl="0" w:tplc="E3BAEA74">
      <w:start w:val="1"/>
      <w:numFmt w:val="bullet"/>
      <w:lvlText w:val=""/>
      <w:lvlJc w:val="left"/>
      <w:pPr>
        <w:ind w:left="1080" w:hanging="360"/>
      </w:pPr>
      <w:rPr>
        <w:rFonts w:ascii="Symbol" w:hAnsi="Symbol" w:hint="default"/>
      </w:rPr>
    </w:lvl>
    <w:lvl w:ilvl="1" w:tplc="0FBC0524">
      <w:start w:val="1"/>
      <w:numFmt w:val="bullet"/>
      <w:lvlText w:val="o"/>
      <w:lvlJc w:val="left"/>
      <w:pPr>
        <w:ind w:left="1800" w:hanging="360"/>
      </w:pPr>
      <w:rPr>
        <w:rFonts w:ascii="Courier New" w:hAnsi="Courier New" w:hint="default"/>
      </w:rPr>
    </w:lvl>
    <w:lvl w:ilvl="2" w:tplc="82DA6B7E">
      <w:start w:val="1"/>
      <w:numFmt w:val="bullet"/>
      <w:lvlText w:val=""/>
      <w:lvlJc w:val="left"/>
      <w:pPr>
        <w:ind w:left="2520" w:hanging="360"/>
      </w:pPr>
      <w:rPr>
        <w:rFonts w:ascii="Wingdings" w:hAnsi="Wingdings" w:hint="default"/>
      </w:rPr>
    </w:lvl>
    <w:lvl w:ilvl="3" w:tplc="4AE813A6">
      <w:start w:val="1"/>
      <w:numFmt w:val="bullet"/>
      <w:lvlText w:val=""/>
      <w:lvlJc w:val="left"/>
      <w:pPr>
        <w:ind w:left="3240" w:hanging="360"/>
      </w:pPr>
      <w:rPr>
        <w:rFonts w:ascii="Symbol" w:hAnsi="Symbol" w:hint="default"/>
      </w:rPr>
    </w:lvl>
    <w:lvl w:ilvl="4" w:tplc="4F062C2E">
      <w:start w:val="1"/>
      <w:numFmt w:val="bullet"/>
      <w:lvlText w:val="o"/>
      <w:lvlJc w:val="left"/>
      <w:pPr>
        <w:ind w:left="3960" w:hanging="360"/>
      </w:pPr>
      <w:rPr>
        <w:rFonts w:ascii="Courier New" w:hAnsi="Courier New" w:hint="default"/>
      </w:rPr>
    </w:lvl>
    <w:lvl w:ilvl="5" w:tplc="2DD26060">
      <w:start w:val="1"/>
      <w:numFmt w:val="bullet"/>
      <w:lvlText w:val=""/>
      <w:lvlJc w:val="left"/>
      <w:pPr>
        <w:ind w:left="4680" w:hanging="360"/>
      </w:pPr>
      <w:rPr>
        <w:rFonts w:ascii="Wingdings" w:hAnsi="Wingdings" w:hint="default"/>
      </w:rPr>
    </w:lvl>
    <w:lvl w:ilvl="6" w:tplc="A38A76CE">
      <w:start w:val="1"/>
      <w:numFmt w:val="bullet"/>
      <w:lvlText w:val=""/>
      <w:lvlJc w:val="left"/>
      <w:pPr>
        <w:ind w:left="5400" w:hanging="360"/>
      </w:pPr>
      <w:rPr>
        <w:rFonts w:ascii="Symbol" w:hAnsi="Symbol" w:hint="default"/>
      </w:rPr>
    </w:lvl>
    <w:lvl w:ilvl="7" w:tplc="45D2F78E">
      <w:start w:val="1"/>
      <w:numFmt w:val="bullet"/>
      <w:lvlText w:val="o"/>
      <w:lvlJc w:val="left"/>
      <w:pPr>
        <w:ind w:left="6120" w:hanging="360"/>
      </w:pPr>
      <w:rPr>
        <w:rFonts w:ascii="Courier New" w:hAnsi="Courier New" w:hint="default"/>
      </w:rPr>
    </w:lvl>
    <w:lvl w:ilvl="8" w:tplc="C016B60E">
      <w:start w:val="1"/>
      <w:numFmt w:val="bullet"/>
      <w:lvlText w:val=""/>
      <w:lvlJc w:val="left"/>
      <w:pPr>
        <w:ind w:left="6840" w:hanging="360"/>
      </w:pPr>
      <w:rPr>
        <w:rFonts w:ascii="Wingdings" w:hAnsi="Wingdings" w:hint="default"/>
      </w:rPr>
    </w:lvl>
  </w:abstractNum>
  <w:abstractNum w:abstractNumId="2" w15:restartNumberingAfterBreak="0">
    <w:nsid w:val="6D1D4C1D"/>
    <w:multiLevelType w:val="hybridMultilevel"/>
    <w:tmpl w:val="59EA00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73EEE7F8"/>
    <w:multiLevelType w:val="hybridMultilevel"/>
    <w:tmpl w:val="4192D6C4"/>
    <w:lvl w:ilvl="0" w:tplc="AD52D3C0">
      <w:start w:val="1"/>
      <w:numFmt w:val="bullet"/>
      <w:lvlText w:val=""/>
      <w:lvlJc w:val="left"/>
      <w:pPr>
        <w:ind w:left="360" w:hanging="360"/>
      </w:pPr>
      <w:rPr>
        <w:rFonts w:ascii="Symbol" w:hAnsi="Symbol" w:hint="default"/>
      </w:rPr>
    </w:lvl>
    <w:lvl w:ilvl="1" w:tplc="23D4FBB0">
      <w:start w:val="1"/>
      <w:numFmt w:val="bullet"/>
      <w:lvlText w:val="o"/>
      <w:lvlJc w:val="left"/>
      <w:pPr>
        <w:ind w:left="1080" w:hanging="360"/>
      </w:pPr>
      <w:rPr>
        <w:rFonts w:ascii="Courier New" w:hAnsi="Courier New" w:hint="default"/>
      </w:rPr>
    </w:lvl>
    <w:lvl w:ilvl="2" w:tplc="2E9C7634">
      <w:start w:val="1"/>
      <w:numFmt w:val="bullet"/>
      <w:lvlText w:val=""/>
      <w:lvlJc w:val="left"/>
      <w:pPr>
        <w:ind w:left="1800" w:hanging="360"/>
      </w:pPr>
      <w:rPr>
        <w:rFonts w:ascii="Wingdings" w:hAnsi="Wingdings" w:hint="default"/>
      </w:rPr>
    </w:lvl>
    <w:lvl w:ilvl="3" w:tplc="26782A06">
      <w:start w:val="1"/>
      <w:numFmt w:val="bullet"/>
      <w:lvlText w:val=""/>
      <w:lvlJc w:val="left"/>
      <w:pPr>
        <w:ind w:left="2520" w:hanging="360"/>
      </w:pPr>
      <w:rPr>
        <w:rFonts w:ascii="Symbol" w:hAnsi="Symbol" w:hint="default"/>
      </w:rPr>
    </w:lvl>
    <w:lvl w:ilvl="4" w:tplc="907C7E2C">
      <w:start w:val="1"/>
      <w:numFmt w:val="bullet"/>
      <w:lvlText w:val="o"/>
      <w:lvlJc w:val="left"/>
      <w:pPr>
        <w:ind w:left="3240" w:hanging="360"/>
      </w:pPr>
      <w:rPr>
        <w:rFonts w:ascii="Courier New" w:hAnsi="Courier New" w:hint="default"/>
      </w:rPr>
    </w:lvl>
    <w:lvl w:ilvl="5" w:tplc="E1E4AD88">
      <w:start w:val="1"/>
      <w:numFmt w:val="bullet"/>
      <w:lvlText w:val=""/>
      <w:lvlJc w:val="left"/>
      <w:pPr>
        <w:ind w:left="3960" w:hanging="360"/>
      </w:pPr>
      <w:rPr>
        <w:rFonts w:ascii="Wingdings" w:hAnsi="Wingdings" w:hint="default"/>
      </w:rPr>
    </w:lvl>
    <w:lvl w:ilvl="6" w:tplc="AF6A192A">
      <w:start w:val="1"/>
      <w:numFmt w:val="bullet"/>
      <w:lvlText w:val=""/>
      <w:lvlJc w:val="left"/>
      <w:pPr>
        <w:ind w:left="4680" w:hanging="360"/>
      </w:pPr>
      <w:rPr>
        <w:rFonts w:ascii="Symbol" w:hAnsi="Symbol" w:hint="default"/>
      </w:rPr>
    </w:lvl>
    <w:lvl w:ilvl="7" w:tplc="CAD4DDA0">
      <w:start w:val="1"/>
      <w:numFmt w:val="bullet"/>
      <w:lvlText w:val="o"/>
      <w:lvlJc w:val="left"/>
      <w:pPr>
        <w:ind w:left="5400" w:hanging="360"/>
      </w:pPr>
      <w:rPr>
        <w:rFonts w:ascii="Courier New" w:hAnsi="Courier New" w:hint="default"/>
      </w:rPr>
    </w:lvl>
    <w:lvl w:ilvl="8" w:tplc="C122EFA6">
      <w:start w:val="1"/>
      <w:numFmt w:val="bullet"/>
      <w:lvlText w:val=""/>
      <w:lvlJc w:val="left"/>
      <w:pPr>
        <w:ind w:left="6120" w:hanging="360"/>
      </w:pPr>
      <w:rPr>
        <w:rFonts w:ascii="Wingdings" w:hAnsi="Wingdings" w:hint="default"/>
      </w:rPr>
    </w:lvl>
  </w:abstractNum>
  <w:abstractNum w:abstractNumId="4" w15:restartNumberingAfterBreak="0">
    <w:nsid w:val="78A10D6D"/>
    <w:multiLevelType w:val="hybridMultilevel"/>
    <w:tmpl w:val="FE98B074"/>
    <w:lvl w:ilvl="0" w:tplc="EA323B10">
      <w:start w:val="1"/>
      <w:numFmt w:val="bullet"/>
      <w:lvlText w:val=""/>
      <w:lvlJc w:val="left"/>
      <w:pPr>
        <w:ind w:left="360" w:hanging="360"/>
      </w:pPr>
      <w:rPr>
        <w:rFonts w:ascii="Symbol" w:hAnsi="Symbol" w:hint="default"/>
      </w:rPr>
    </w:lvl>
    <w:lvl w:ilvl="1" w:tplc="257A0FCA">
      <w:start w:val="1"/>
      <w:numFmt w:val="bullet"/>
      <w:lvlText w:val="o"/>
      <w:lvlJc w:val="left"/>
      <w:pPr>
        <w:ind w:left="1080" w:hanging="360"/>
      </w:pPr>
      <w:rPr>
        <w:rFonts w:ascii="Courier New" w:hAnsi="Courier New" w:hint="default"/>
      </w:rPr>
    </w:lvl>
    <w:lvl w:ilvl="2" w:tplc="14E4D10E">
      <w:start w:val="1"/>
      <w:numFmt w:val="bullet"/>
      <w:lvlText w:val=""/>
      <w:lvlJc w:val="left"/>
      <w:pPr>
        <w:ind w:left="1800" w:hanging="360"/>
      </w:pPr>
      <w:rPr>
        <w:rFonts w:ascii="Wingdings" w:hAnsi="Wingdings" w:hint="default"/>
      </w:rPr>
    </w:lvl>
    <w:lvl w:ilvl="3" w:tplc="A5D6941A">
      <w:start w:val="1"/>
      <w:numFmt w:val="bullet"/>
      <w:lvlText w:val=""/>
      <w:lvlJc w:val="left"/>
      <w:pPr>
        <w:ind w:left="2520" w:hanging="360"/>
      </w:pPr>
      <w:rPr>
        <w:rFonts w:ascii="Symbol" w:hAnsi="Symbol" w:hint="default"/>
      </w:rPr>
    </w:lvl>
    <w:lvl w:ilvl="4" w:tplc="4CE2F74E">
      <w:start w:val="1"/>
      <w:numFmt w:val="bullet"/>
      <w:lvlText w:val="o"/>
      <w:lvlJc w:val="left"/>
      <w:pPr>
        <w:ind w:left="3240" w:hanging="360"/>
      </w:pPr>
      <w:rPr>
        <w:rFonts w:ascii="Courier New" w:hAnsi="Courier New" w:hint="default"/>
      </w:rPr>
    </w:lvl>
    <w:lvl w:ilvl="5" w:tplc="37B6B66C">
      <w:start w:val="1"/>
      <w:numFmt w:val="bullet"/>
      <w:lvlText w:val=""/>
      <w:lvlJc w:val="left"/>
      <w:pPr>
        <w:ind w:left="3960" w:hanging="360"/>
      </w:pPr>
      <w:rPr>
        <w:rFonts w:ascii="Wingdings" w:hAnsi="Wingdings" w:hint="default"/>
      </w:rPr>
    </w:lvl>
    <w:lvl w:ilvl="6" w:tplc="038EDBC0">
      <w:start w:val="1"/>
      <w:numFmt w:val="bullet"/>
      <w:lvlText w:val=""/>
      <w:lvlJc w:val="left"/>
      <w:pPr>
        <w:ind w:left="4680" w:hanging="360"/>
      </w:pPr>
      <w:rPr>
        <w:rFonts w:ascii="Symbol" w:hAnsi="Symbol" w:hint="default"/>
      </w:rPr>
    </w:lvl>
    <w:lvl w:ilvl="7" w:tplc="DF8C9802">
      <w:start w:val="1"/>
      <w:numFmt w:val="bullet"/>
      <w:lvlText w:val="o"/>
      <w:lvlJc w:val="left"/>
      <w:pPr>
        <w:ind w:left="5400" w:hanging="360"/>
      </w:pPr>
      <w:rPr>
        <w:rFonts w:ascii="Courier New" w:hAnsi="Courier New" w:hint="default"/>
      </w:rPr>
    </w:lvl>
    <w:lvl w:ilvl="8" w:tplc="F920F2AA">
      <w:start w:val="1"/>
      <w:numFmt w:val="bullet"/>
      <w:lvlText w:val=""/>
      <w:lvlJc w:val="left"/>
      <w:pPr>
        <w:ind w:left="6120" w:hanging="360"/>
      </w:pPr>
      <w:rPr>
        <w:rFonts w:ascii="Wingdings" w:hAnsi="Wingdings" w:hint="default"/>
      </w:rPr>
    </w:lvl>
  </w:abstractNum>
  <w:num w:numId="1" w16cid:durableId="1182934324">
    <w:abstractNumId w:val="3"/>
  </w:num>
  <w:num w:numId="2" w16cid:durableId="1570462397">
    <w:abstractNumId w:val="4"/>
  </w:num>
  <w:num w:numId="3" w16cid:durableId="1540118848">
    <w:abstractNumId w:val="1"/>
  </w:num>
  <w:num w:numId="4" w16cid:durableId="342705409">
    <w:abstractNumId w:val="0"/>
  </w:num>
  <w:num w:numId="5" w16cid:durableId="141905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F4"/>
    <w:rsid w:val="000045A5"/>
    <w:rsid w:val="00011303"/>
    <w:rsid w:val="0012660C"/>
    <w:rsid w:val="001B356B"/>
    <w:rsid w:val="001D0B61"/>
    <w:rsid w:val="002041D7"/>
    <w:rsid w:val="00227A41"/>
    <w:rsid w:val="00325BD3"/>
    <w:rsid w:val="00580FF9"/>
    <w:rsid w:val="006144F4"/>
    <w:rsid w:val="006505FE"/>
    <w:rsid w:val="00740950"/>
    <w:rsid w:val="00782CFB"/>
    <w:rsid w:val="007F0F3D"/>
    <w:rsid w:val="00802787"/>
    <w:rsid w:val="00826CFE"/>
    <w:rsid w:val="00887083"/>
    <w:rsid w:val="00891EC7"/>
    <w:rsid w:val="0094588C"/>
    <w:rsid w:val="00B15E51"/>
    <w:rsid w:val="00B53CD5"/>
    <w:rsid w:val="00BD1C7C"/>
    <w:rsid w:val="00C759F4"/>
    <w:rsid w:val="00D15814"/>
    <w:rsid w:val="00D85E6F"/>
    <w:rsid w:val="00DD5A37"/>
    <w:rsid w:val="00E5533F"/>
    <w:rsid w:val="00E611E8"/>
    <w:rsid w:val="00E87FE8"/>
    <w:rsid w:val="00FC3F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BE72"/>
  <w15:chartTrackingRefBased/>
  <w15:docId w15:val="{690A5A0C-2CD2-49C1-9AFD-00FC5E44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4"/>
    <w:pPr>
      <w:widowControl w:val="0"/>
      <w:spacing w:after="0" w:line="240" w:lineRule="auto"/>
    </w:pPr>
    <w:rPr>
      <w:rFonts w:ascii="Verdana" w:eastAsia="Verdana" w:hAnsi="Verdana" w:cs="Verdana"/>
      <w:kern w:val="0"/>
      <w:sz w:val="20"/>
      <w:szCs w:val="20"/>
      <w:lang w:val="en-GB" w:eastAsia="ja-JP"/>
      <w14:ligatures w14:val="none"/>
    </w:rPr>
  </w:style>
  <w:style w:type="paragraph" w:styleId="Heading1">
    <w:name w:val="heading 1"/>
    <w:basedOn w:val="Normal"/>
    <w:next w:val="Normal"/>
    <w:link w:val="Heading1Char"/>
    <w:uiPriority w:val="9"/>
    <w:qFormat/>
    <w:rsid w:val="00C75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9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9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9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9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s">
    <w:name w:val="Links"/>
    <w:basedOn w:val="Normal"/>
    <w:link w:val="LinksChar"/>
    <w:autoRedefine/>
    <w:qFormat/>
    <w:rsid w:val="00E5533F"/>
    <w:rPr>
      <w:color w:val="4C94D8" w:themeColor="text2" w:themeTint="80"/>
      <w:u w:val="single"/>
    </w:rPr>
  </w:style>
  <w:style w:type="character" w:customStyle="1" w:styleId="LinksChar">
    <w:name w:val="Links Char"/>
    <w:basedOn w:val="DefaultParagraphFont"/>
    <w:link w:val="Links"/>
    <w:rsid w:val="00E5533F"/>
    <w:rPr>
      <w:rFonts w:ascii="Verdana" w:eastAsia="Verdana" w:hAnsi="Verdana" w:cs="Verdana"/>
      <w:color w:val="4C94D8" w:themeColor="text2" w:themeTint="80"/>
      <w:kern w:val="0"/>
      <w:sz w:val="20"/>
      <w:szCs w:val="20"/>
      <w:u w:val="single"/>
      <w:lang w:val="en-GB" w:eastAsia="ja-JP"/>
      <w14:ligatures w14:val="none"/>
    </w:rPr>
  </w:style>
  <w:style w:type="character" w:customStyle="1" w:styleId="Heading1Char">
    <w:name w:val="Heading 1 Char"/>
    <w:basedOn w:val="DefaultParagraphFont"/>
    <w:link w:val="Heading1"/>
    <w:uiPriority w:val="9"/>
    <w:rsid w:val="00C75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9F4"/>
    <w:rPr>
      <w:rFonts w:eastAsiaTheme="majorEastAsia" w:cstheme="majorBidi"/>
      <w:color w:val="272727" w:themeColor="text1" w:themeTint="D8"/>
    </w:rPr>
  </w:style>
  <w:style w:type="paragraph" w:styleId="Title">
    <w:name w:val="Title"/>
    <w:basedOn w:val="Normal"/>
    <w:next w:val="Normal"/>
    <w:link w:val="TitleChar"/>
    <w:uiPriority w:val="10"/>
    <w:qFormat/>
    <w:rsid w:val="00C759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9F4"/>
    <w:pPr>
      <w:spacing w:before="160"/>
      <w:jc w:val="center"/>
    </w:pPr>
    <w:rPr>
      <w:i/>
      <w:iCs/>
      <w:color w:val="404040" w:themeColor="text1" w:themeTint="BF"/>
    </w:rPr>
  </w:style>
  <w:style w:type="character" w:customStyle="1" w:styleId="QuoteChar">
    <w:name w:val="Quote Char"/>
    <w:basedOn w:val="DefaultParagraphFont"/>
    <w:link w:val="Quote"/>
    <w:uiPriority w:val="29"/>
    <w:rsid w:val="00C759F4"/>
    <w:rPr>
      <w:i/>
      <w:iCs/>
      <w:color w:val="404040" w:themeColor="text1" w:themeTint="BF"/>
    </w:rPr>
  </w:style>
  <w:style w:type="paragraph" w:styleId="ListParagraph">
    <w:name w:val="List Paragraph"/>
    <w:basedOn w:val="Normal"/>
    <w:uiPriority w:val="34"/>
    <w:qFormat/>
    <w:rsid w:val="00C759F4"/>
    <w:pPr>
      <w:ind w:left="720"/>
      <w:contextualSpacing/>
    </w:pPr>
  </w:style>
  <w:style w:type="character" w:styleId="IntenseEmphasis">
    <w:name w:val="Intense Emphasis"/>
    <w:basedOn w:val="DefaultParagraphFont"/>
    <w:uiPriority w:val="21"/>
    <w:qFormat/>
    <w:rsid w:val="00C759F4"/>
    <w:rPr>
      <w:i/>
      <w:iCs/>
      <w:color w:val="0F4761" w:themeColor="accent1" w:themeShade="BF"/>
    </w:rPr>
  </w:style>
  <w:style w:type="paragraph" w:styleId="IntenseQuote">
    <w:name w:val="Intense Quote"/>
    <w:basedOn w:val="Normal"/>
    <w:next w:val="Normal"/>
    <w:link w:val="IntenseQuoteChar"/>
    <w:uiPriority w:val="30"/>
    <w:qFormat/>
    <w:rsid w:val="00C75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9F4"/>
    <w:rPr>
      <w:i/>
      <w:iCs/>
      <w:color w:val="0F4761" w:themeColor="accent1" w:themeShade="BF"/>
    </w:rPr>
  </w:style>
  <w:style w:type="character" w:styleId="IntenseReference">
    <w:name w:val="Intense Reference"/>
    <w:basedOn w:val="DefaultParagraphFont"/>
    <w:uiPriority w:val="32"/>
    <w:qFormat/>
    <w:rsid w:val="00C759F4"/>
    <w:rPr>
      <w:b/>
      <w:bCs/>
      <w:smallCaps/>
      <w:color w:val="0F4761" w:themeColor="accent1" w:themeShade="BF"/>
      <w:spacing w:val="5"/>
    </w:rPr>
  </w:style>
  <w:style w:type="character" w:styleId="Hyperlink">
    <w:name w:val="Hyperlink"/>
    <w:basedOn w:val="DefaultParagraphFont"/>
    <w:uiPriority w:val="99"/>
    <w:unhideWhenUsed/>
    <w:rsid w:val="00C759F4"/>
    <w:rPr>
      <w:color w:val="467886" w:themeColor="hyperlink"/>
      <w:u w:val="single"/>
    </w:rPr>
  </w:style>
  <w:style w:type="character" w:styleId="CommentReference">
    <w:name w:val="annotation reference"/>
    <w:basedOn w:val="DefaultParagraphFont"/>
    <w:uiPriority w:val="99"/>
    <w:semiHidden/>
    <w:unhideWhenUsed/>
    <w:rsid w:val="00C759F4"/>
    <w:rPr>
      <w:sz w:val="16"/>
      <w:szCs w:val="16"/>
    </w:rPr>
  </w:style>
  <w:style w:type="paragraph" w:styleId="CommentText">
    <w:name w:val="annotation text"/>
    <w:basedOn w:val="Normal"/>
    <w:link w:val="CommentTextChar"/>
    <w:uiPriority w:val="99"/>
    <w:semiHidden/>
    <w:unhideWhenUsed/>
    <w:rsid w:val="00C759F4"/>
  </w:style>
  <w:style w:type="character" w:customStyle="1" w:styleId="CommentTextChar">
    <w:name w:val="Comment Text Char"/>
    <w:basedOn w:val="DefaultParagraphFont"/>
    <w:link w:val="CommentText"/>
    <w:uiPriority w:val="99"/>
    <w:semiHidden/>
    <w:rsid w:val="00C759F4"/>
    <w:rPr>
      <w:rFonts w:ascii="Verdana" w:eastAsia="Verdana" w:hAnsi="Verdana" w:cs="Verdana"/>
      <w:kern w:val="0"/>
      <w:sz w:val="20"/>
      <w:szCs w:val="20"/>
      <w:lang w:val="en-GB" w:eastAsia="ja-JP"/>
      <w14:ligatures w14:val="none"/>
    </w:rPr>
  </w:style>
  <w:style w:type="paragraph" w:styleId="Header">
    <w:name w:val="header"/>
    <w:basedOn w:val="Normal"/>
    <w:link w:val="HeaderChar"/>
    <w:unhideWhenUsed/>
    <w:rsid w:val="00C759F4"/>
    <w:pPr>
      <w:tabs>
        <w:tab w:val="center" w:pos="4513"/>
        <w:tab w:val="right" w:pos="9026"/>
      </w:tabs>
    </w:pPr>
  </w:style>
  <w:style w:type="character" w:customStyle="1" w:styleId="HeaderChar">
    <w:name w:val="Header Char"/>
    <w:basedOn w:val="DefaultParagraphFont"/>
    <w:link w:val="Header"/>
    <w:rsid w:val="00C759F4"/>
    <w:rPr>
      <w:rFonts w:ascii="Verdana" w:eastAsia="Verdana" w:hAnsi="Verdana" w:cs="Verdana"/>
      <w:kern w:val="0"/>
      <w:sz w:val="20"/>
      <w:szCs w:val="20"/>
      <w:lang w:val="en-GB" w:eastAsia="ja-JP"/>
      <w14:ligatures w14:val="none"/>
    </w:rPr>
  </w:style>
  <w:style w:type="paragraph" w:styleId="Footer">
    <w:name w:val="footer"/>
    <w:basedOn w:val="Normal"/>
    <w:link w:val="FooterChar"/>
    <w:uiPriority w:val="99"/>
    <w:unhideWhenUsed/>
    <w:rsid w:val="00C759F4"/>
    <w:pPr>
      <w:tabs>
        <w:tab w:val="center" w:pos="4513"/>
        <w:tab w:val="right" w:pos="9026"/>
      </w:tabs>
    </w:pPr>
  </w:style>
  <w:style w:type="character" w:customStyle="1" w:styleId="FooterChar">
    <w:name w:val="Footer Char"/>
    <w:basedOn w:val="DefaultParagraphFont"/>
    <w:link w:val="Footer"/>
    <w:uiPriority w:val="99"/>
    <w:rsid w:val="00C759F4"/>
    <w:rPr>
      <w:rFonts w:ascii="Verdana" w:eastAsia="Verdana" w:hAnsi="Verdana" w:cs="Verdana"/>
      <w:kern w:val="0"/>
      <w:sz w:val="20"/>
      <w:szCs w:val="20"/>
      <w:lang w:val="en-GB" w:eastAsia="ja-JP"/>
      <w14:ligatures w14:val="none"/>
    </w:rPr>
  </w:style>
  <w:style w:type="character" w:styleId="UnresolvedMention">
    <w:name w:val="Unresolved Mention"/>
    <w:basedOn w:val="DefaultParagraphFont"/>
    <w:uiPriority w:val="99"/>
    <w:semiHidden/>
    <w:unhideWhenUsed/>
    <w:rsid w:val="00C759F4"/>
    <w:rPr>
      <w:color w:val="605E5C"/>
      <w:shd w:val="clear" w:color="auto" w:fill="E1DFDD"/>
    </w:rPr>
  </w:style>
  <w:style w:type="character" w:styleId="FollowedHyperlink">
    <w:name w:val="FollowedHyperlink"/>
    <w:basedOn w:val="DefaultParagraphFont"/>
    <w:uiPriority w:val="99"/>
    <w:semiHidden/>
    <w:unhideWhenUsed/>
    <w:rsid w:val="00B53C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700336">
      <w:bodyDiv w:val="1"/>
      <w:marLeft w:val="0"/>
      <w:marRight w:val="0"/>
      <w:marTop w:val="0"/>
      <w:marBottom w:val="0"/>
      <w:divBdr>
        <w:top w:val="none" w:sz="0" w:space="0" w:color="auto"/>
        <w:left w:val="none" w:sz="0" w:space="0" w:color="auto"/>
        <w:bottom w:val="none" w:sz="0" w:space="0" w:color="auto"/>
        <w:right w:val="none" w:sz="0" w:space="0" w:color="auto"/>
      </w:divBdr>
      <w:divsChild>
        <w:div w:id="810444164">
          <w:marLeft w:val="0"/>
          <w:marRight w:val="0"/>
          <w:marTop w:val="0"/>
          <w:marBottom w:val="0"/>
          <w:divBdr>
            <w:top w:val="none" w:sz="0" w:space="0" w:color="auto"/>
            <w:left w:val="none" w:sz="0" w:space="0" w:color="auto"/>
            <w:bottom w:val="none" w:sz="0" w:space="0" w:color="auto"/>
            <w:right w:val="none" w:sz="0" w:space="0" w:color="auto"/>
          </w:divBdr>
        </w:div>
        <w:div w:id="413937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learn.org.nz/images/5549-atmospheric-mix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ns.cri.nz/news/climate-science-inspires-students-to-drive-down-emission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ns.cri.nz/research-projects/drive-it-dow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ns.cri.nz/research-projects/drive-it-down/drive-it-down-carbon-cycle-teaching-resources/" TargetMode="External"/><Relationship Id="rId4" Type="http://schemas.openxmlformats.org/officeDocument/2006/relationships/webSettings" Target="webSettings.xml"/><Relationship Id="rId9" Type="http://schemas.openxmlformats.org/officeDocument/2006/relationships/hyperlink" Target="https://www.sciencelearn.org.nz/images/5548-the-urban-carbon-cyc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sciencelearn.org.nz/resources/3380-drive-it-down-reducing-emissions-at-your-schoo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2936</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Drive it Down! – reducing emissions at your school</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it Down! – reducing emissions at your school</dc:title>
  <dc:subject/>
  <dc:creator>cience Learning Hub – Pokapū Akoranga Pūtaiao, The University of Waikato.</dc:creator>
  <cp:keywords/>
  <dc:description/>
  <cp:lastModifiedBy>Angela Schipper</cp:lastModifiedBy>
  <cp:revision>4</cp:revision>
  <dcterms:created xsi:type="dcterms:W3CDTF">2026-03-26T01:21:00Z</dcterms:created>
  <dcterms:modified xsi:type="dcterms:W3CDTF">2026-03-26T01:21:00Z</dcterms:modified>
</cp:coreProperties>
</file>