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101" w:rsidRPr="004A6101" w:rsidRDefault="004A6101" w:rsidP="0026430D">
      <w:pPr>
        <w:rPr>
          <w:rFonts w:ascii="Arial" w:hAnsi="Arial" w:cs="Arial"/>
          <w:b/>
          <w:sz w:val="28"/>
          <w:szCs w:val="28"/>
        </w:rPr>
      </w:pPr>
      <w:r w:rsidRPr="004A6101">
        <w:rPr>
          <w:rFonts w:ascii="Arial" w:hAnsi="Arial" w:cs="Arial"/>
          <w:b/>
          <w:sz w:val="28"/>
          <w:szCs w:val="28"/>
        </w:rPr>
        <w:t>Measuring differences in development within China</w:t>
      </w:r>
    </w:p>
    <w:p w:rsidR="004970B5" w:rsidRDefault="004970B5" w:rsidP="0026430D"/>
    <w:p w:rsidR="00F675EE" w:rsidRPr="00153755" w:rsidRDefault="00F675EE" w:rsidP="0026430D">
      <w:pPr>
        <w:rPr>
          <w:rFonts w:ascii="Arial" w:hAnsi="Arial" w:cs="Arial"/>
          <w:b/>
        </w:rPr>
      </w:pPr>
      <w:r w:rsidRPr="00153755">
        <w:rPr>
          <w:rFonts w:ascii="Arial" w:hAnsi="Arial" w:cs="Arial"/>
          <w:b/>
        </w:rPr>
        <w:t xml:space="preserve">GINI coefficient </w:t>
      </w:r>
    </w:p>
    <w:p w:rsidR="00F675EE" w:rsidRPr="00153755" w:rsidRDefault="00F675EE" w:rsidP="0026430D">
      <w:pPr>
        <w:rPr>
          <w:rFonts w:ascii="Arial" w:hAnsi="Arial" w:cs="Arial"/>
        </w:rPr>
      </w:pPr>
      <w:r w:rsidRPr="00153755">
        <w:rPr>
          <w:rFonts w:ascii="Arial" w:hAnsi="Arial" w:cs="Arial"/>
        </w:rPr>
        <w:t xml:space="preserve">This measures inequality and indicates the distribution of income within a country. The closer the figure is to 1, the greater the inequality. </w:t>
      </w:r>
      <w:r w:rsidR="005D0DC8" w:rsidRPr="00153755">
        <w:rPr>
          <w:rFonts w:ascii="Arial" w:hAnsi="Arial" w:cs="Arial"/>
        </w:rPr>
        <w:t xml:space="preserve"> This indicator can be affected by structural changes such as population changes like baby booms and migration.  The 2015 GINI for China is 0.727.</w:t>
      </w:r>
    </w:p>
    <w:p w:rsidR="00F675EE" w:rsidRPr="00F675EE" w:rsidRDefault="00F675EE" w:rsidP="0026430D">
      <w:pPr>
        <w:rPr>
          <w:b/>
        </w:rPr>
      </w:pPr>
      <w:r w:rsidRPr="00F675EE">
        <w:rPr>
          <w:b/>
        </w:rPr>
        <w:t>Income inequality in China 1981-2012</w:t>
      </w:r>
    </w:p>
    <w:p w:rsidR="00F675EE" w:rsidRDefault="00F675EE" w:rsidP="0026430D">
      <w:r w:rsidRPr="00F675EE">
        <w:rPr>
          <w:noProof/>
          <w:lang w:eastAsia="en-NZ"/>
        </w:rPr>
        <w:drawing>
          <wp:inline distT="0" distB="0" distL="0" distR="0">
            <wp:extent cx="5964865" cy="354121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2636" cy="3551769"/>
                    </a:xfrm>
                    <a:prstGeom prst="rect">
                      <a:avLst/>
                    </a:prstGeom>
                    <a:noFill/>
                    <a:ln>
                      <a:noFill/>
                    </a:ln>
                  </pic:spPr>
                </pic:pic>
              </a:graphicData>
            </a:graphic>
          </wp:inline>
        </w:drawing>
      </w:r>
    </w:p>
    <w:p w:rsidR="00F675EE" w:rsidRPr="00153755" w:rsidRDefault="00F675EE" w:rsidP="0026430D">
      <w:pPr>
        <w:rPr>
          <w:rFonts w:ascii="Arial" w:hAnsi="Arial" w:cs="Arial"/>
        </w:rPr>
      </w:pPr>
    </w:p>
    <w:p w:rsidR="0026430D" w:rsidRPr="00153755" w:rsidRDefault="00045C49" w:rsidP="0026430D">
      <w:pPr>
        <w:rPr>
          <w:rFonts w:ascii="Arial" w:hAnsi="Arial" w:cs="Arial"/>
          <w:b/>
        </w:rPr>
      </w:pPr>
      <w:r w:rsidRPr="00153755">
        <w:rPr>
          <w:rFonts w:ascii="Arial" w:hAnsi="Arial" w:cs="Arial"/>
          <w:b/>
        </w:rPr>
        <w:t>Gender Development Index (GDI)</w:t>
      </w:r>
    </w:p>
    <w:p w:rsidR="004A6101" w:rsidRPr="00153755" w:rsidRDefault="0026430D" w:rsidP="0026430D">
      <w:pPr>
        <w:rPr>
          <w:rFonts w:ascii="Arial" w:hAnsi="Arial" w:cs="Arial"/>
        </w:rPr>
      </w:pPr>
      <w:r w:rsidRPr="00153755">
        <w:rPr>
          <w:rFonts w:ascii="Arial" w:hAnsi="Arial" w:cs="Arial"/>
        </w:rPr>
        <w:t xml:space="preserve">GDI measures gender inequalities in three areas of human development: health (measured by female and male life expectancy at birth), education (measured by female and male expected years of schooling for children and mean years for adults aged 25 years and older); and command over economic resources (measured by female and male estimated GNI per capita). </w:t>
      </w:r>
      <w:r w:rsidR="005D0DC8" w:rsidRPr="00153755">
        <w:rPr>
          <w:rFonts w:ascii="Arial" w:hAnsi="Arial" w:cs="Arial"/>
        </w:rPr>
        <w:t>It indicates how much women need to catch up.</w:t>
      </w:r>
    </w:p>
    <w:p w:rsidR="0026430D" w:rsidRPr="00153755" w:rsidRDefault="0026430D" w:rsidP="0026430D">
      <w:pPr>
        <w:rPr>
          <w:rFonts w:ascii="Arial" w:hAnsi="Arial" w:cs="Arial"/>
        </w:rPr>
      </w:pPr>
      <w:r w:rsidRPr="00153755">
        <w:rPr>
          <w:rFonts w:ascii="Arial" w:hAnsi="Arial" w:cs="Arial"/>
        </w:rPr>
        <w:t>The 2014 female HDI value for China is 0.705 in contrast with 0.747 for males, resulting in a GDI value of 0.943.</w:t>
      </w:r>
    </w:p>
    <w:p w:rsidR="00045C49" w:rsidRPr="00153755" w:rsidRDefault="00045C49" w:rsidP="0026430D">
      <w:pPr>
        <w:rPr>
          <w:rFonts w:ascii="Arial" w:hAnsi="Arial" w:cs="Arial"/>
          <w:b/>
        </w:rPr>
      </w:pPr>
      <w:r w:rsidRPr="00153755">
        <w:rPr>
          <w:rFonts w:ascii="Arial" w:hAnsi="Arial" w:cs="Arial"/>
          <w:b/>
        </w:rPr>
        <w:t>Gender Inequality index (GII)</w:t>
      </w:r>
    </w:p>
    <w:p w:rsidR="004A6101" w:rsidRPr="00153755" w:rsidRDefault="00045C49" w:rsidP="0026430D">
      <w:pPr>
        <w:rPr>
          <w:rFonts w:ascii="Arial" w:hAnsi="Arial" w:cs="Arial"/>
        </w:rPr>
      </w:pPr>
      <w:r w:rsidRPr="00153755">
        <w:rPr>
          <w:rFonts w:ascii="Arial" w:hAnsi="Arial" w:cs="Arial"/>
        </w:rPr>
        <w:t>This measure reflects inequalities in three areas</w:t>
      </w:r>
      <w:r w:rsidR="0026430D" w:rsidRPr="00153755">
        <w:rPr>
          <w:rFonts w:ascii="Arial" w:hAnsi="Arial" w:cs="Arial"/>
        </w:rPr>
        <w:t xml:space="preserve"> – reproductive health, empowerment, and economic activity. </w:t>
      </w:r>
      <w:r w:rsidR="005D0DC8" w:rsidRPr="00153755">
        <w:rPr>
          <w:rFonts w:ascii="Arial" w:hAnsi="Arial" w:cs="Arial"/>
        </w:rPr>
        <w:t xml:space="preserve">It goes beyond literacy. </w:t>
      </w:r>
      <w:r w:rsidR="0026430D" w:rsidRPr="00153755">
        <w:rPr>
          <w:rFonts w:ascii="Arial" w:hAnsi="Arial" w:cs="Arial"/>
        </w:rPr>
        <w:t xml:space="preserve">Reproductive health is measured by maternal mortality and adolescent birth rates; empowerment is measured by the share of parliamentary seats held by women and attainment in secondary and higher education by each gender; and economic activity is measured by the labour market participation rate for </w:t>
      </w:r>
      <w:r w:rsidR="0026430D" w:rsidRPr="00153755">
        <w:rPr>
          <w:rFonts w:ascii="Arial" w:hAnsi="Arial" w:cs="Arial"/>
        </w:rPr>
        <w:lastRenderedPageBreak/>
        <w:t xml:space="preserve">women and men. </w:t>
      </w:r>
      <w:r w:rsidRPr="00153755">
        <w:rPr>
          <w:rFonts w:ascii="Arial" w:hAnsi="Arial" w:cs="Arial"/>
        </w:rPr>
        <w:t xml:space="preserve">It indicates the loss in human development due to gender inequality. </w:t>
      </w:r>
      <w:r w:rsidR="005D0DC8" w:rsidRPr="00153755">
        <w:rPr>
          <w:rFonts w:ascii="Arial" w:hAnsi="Arial" w:cs="Arial"/>
        </w:rPr>
        <w:t xml:space="preserve"> GII does not capture the length of inequality.</w:t>
      </w:r>
    </w:p>
    <w:p w:rsidR="0026430D" w:rsidRPr="00153755" w:rsidRDefault="0026430D" w:rsidP="0026430D">
      <w:pPr>
        <w:rPr>
          <w:rFonts w:ascii="Arial" w:hAnsi="Arial" w:cs="Arial"/>
        </w:rPr>
      </w:pPr>
      <w:r w:rsidRPr="00153755">
        <w:rPr>
          <w:rFonts w:ascii="Arial" w:hAnsi="Arial" w:cs="Arial"/>
        </w:rPr>
        <w:t>China has a GII value of 0.191, ranking it 40 out of 155 countries in the 2014 index. In China, 23.6 percent of parliamentary seats are held by women, and 58.7 percent of adult women have reached at least a secondary level of education compared to 71.9 percent of their male counterparts. For every 100,000 live births, 32 women die from pregnancy related causes; and the adolescent birth rate is 8.6 births per 1,000 women of ages 15-19. Female participation in the labour market is 63.9 percent compared to 78.3 for men.</w:t>
      </w:r>
    </w:p>
    <w:p w:rsidR="0026430D" w:rsidRPr="00153755" w:rsidRDefault="0026430D" w:rsidP="0026430D">
      <w:pPr>
        <w:rPr>
          <w:rFonts w:ascii="Arial" w:hAnsi="Arial" w:cs="Arial"/>
          <w:b/>
        </w:rPr>
      </w:pPr>
    </w:p>
    <w:p w:rsidR="00045C49" w:rsidRPr="00153755" w:rsidRDefault="0026430D" w:rsidP="0026430D">
      <w:pPr>
        <w:rPr>
          <w:rFonts w:ascii="Arial" w:hAnsi="Arial" w:cs="Arial"/>
          <w:b/>
        </w:rPr>
      </w:pPr>
      <w:r w:rsidRPr="00153755">
        <w:rPr>
          <w:rFonts w:ascii="Arial" w:hAnsi="Arial" w:cs="Arial"/>
          <w:b/>
        </w:rPr>
        <w:t xml:space="preserve">Multidimensional Poverty Index (MPI) </w:t>
      </w:r>
    </w:p>
    <w:p w:rsidR="004A6101" w:rsidRPr="00153755" w:rsidRDefault="00045C49" w:rsidP="0026430D">
      <w:pPr>
        <w:rPr>
          <w:rFonts w:ascii="Arial" w:hAnsi="Arial" w:cs="Arial"/>
        </w:rPr>
      </w:pPr>
      <w:r w:rsidRPr="00153755">
        <w:rPr>
          <w:rFonts w:ascii="Arial" w:hAnsi="Arial" w:cs="Arial"/>
        </w:rPr>
        <w:t xml:space="preserve">This measures </w:t>
      </w:r>
      <w:r w:rsidR="0026430D" w:rsidRPr="00153755">
        <w:rPr>
          <w:rFonts w:ascii="Arial" w:hAnsi="Arial" w:cs="Arial"/>
        </w:rPr>
        <w:t>multiple deprivations in the same households in education, health and livin</w:t>
      </w:r>
      <w:r w:rsidRPr="00153755">
        <w:rPr>
          <w:rFonts w:ascii="Arial" w:hAnsi="Arial" w:cs="Arial"/>
        </w:rPr>
        <w:t xml:space="preserve">g standards. </w:t>
      </w:r>
      <w:r w:rsidR="0026430D" w:rsidRPr="00153755">
        <w:rPr>
          <w:rFonts w:ascii="Arial" w:hAnsi="Arial" w:cs="Arial"/>
        </w:rPr>
        <w:t>If the household deprivation score is 33.3 percent or greater, the household (and everyone in it) is classified as multidimensionally poor. Households with a deprivation score greater than or equal to 20 percent but less than 33.3 percent are near multidimensional poverty. Finally, households with a deprivation score greater than or equal to 50 percent live in severe multidimensional poverty</w:t>
      </w:r>
      <w:r w:rsidRPr="00153755">
        <w:rPr>
          <w:rFonts w:ascii="Arial" w:hAnsi="Arial" w:cs="Arial"/>
        </w:rPr>
        <w:t xml:space="preserve">.  </w:t>
      </w:r>
      <w:r w:rsidR="004A6101" w:rsidRPr="00153755">
        <w:rPr>
          <w:rFonts w:ascii="Arial" w:hAnsi="Arial" w:cs="Arial"/>
        </w:rPr>
        <w:t>A constraint of this indicator is that it does not include access to non-income resources.</w:t>
      </w:r>
    </w:p>
    <w:p w:rsidR="0026430D" w:rsidRPr="00153755" w:rsidRDefault="00045C49" w:rsidP="0026430D">
      <w:pPr>
        <w:rPr>
          <w:rFonts w:ascii="Arial" w:hAnsi="Arial" w:cs="Arial"/>
        </w:rPr>
      </w:pPr>
      <w:r w:rsidRPr="00153755">
        <w:rPr>
          <w:rFonts w:ascii="Arial" w:hAnsi="Arial" w:cs="Arial"/>
        </w:rPr>
        <w:t xml:space="preserve">Data from 2012 tells us that 5.2% of the population are multidimensionally poor while an additional 22.7% live near multidimensional poverty. </w:t>
      </w:r>
      <w:r w:rsidR="005D0DC8" w:rsidRPr="00153755">
        <w:rPr>
          <w:rFonts w:ascii="Arial" w:hAnsi="Arial" w:cs="Arial"/>
        </w:rPr>
        <w:t xml:space="preserve"> The 2015 MPI for China is 0.023</w:t>
      </w:r>
    </w:p>
    <w:p w:rsidR="00045C49" w:rsidRPr="00153755" w:rsidRDefault="00045C49" w:rsidP="0026430D">
      <w:pPr>
        <w:rPr>
          <w:rFonts w:ascii="Arial" w:hAnsi="Arial" w:cs="Arial"/>
          <w:i/>
          <w:noProof/>
          <w:lang w:eastAsia="en-NZ"/>
        </w:rPr>
      </w:pPr>
      <w:r w:rsidRPr="00153755">
        <w:rPr>
          <w:rFonts w:ascii="Arial" w:hAnsi="Arial" w:cs="Arial"/>
          <w:i/>
          <w:noProof/>
          <w:lang w:eastAsia="en-NZ"/>
        </w:rPr>
        <w:t>Source: Human Development Report 201</w:t>
      </w:r>
      <w:r w:rsidR="005D0DC8" w:rsidRPr="00153755">
        <w:rPr>
          <w:rFonts w:ascii="Arial" w:hAnsi="Arial" w:cs="Arial"/>
          <w:i/>
          <w:noProof/>
          <w:lang w:eastAsia="en-NZ"/>
        </w:rPr>
        <w:t>5</w:t>
      </w:r>
      <w:r w:rsidRPr="00153755">
        <w:rPr>
          <w:rFonts w:ascii="Arial" w:hAnsi="Arial" w:cs="Arial"/>
          <w:i/>
          <w:noProof/>
          <w:lang w:eastAsia="en-NZ"/>
        </w:rPr>
        <w:t xml:space="preserve"> China</w:t>
      </w:r>
    </w:p>
    <w:p w:rsidR="00045C49" w:rsidRPr="00153755" w:rsidRDefault="00045C49">
      <w:pPr>
        <w:rPr>
          <w:rFonts w:ascii="Arial" w:hAnsi="Arial" w:cs="Arial"/>
        </w:rPr>
      </w:pPr>
    </w:p>
    <w:p w:rsidR="00153755" w:rsidRPr="00153755" w:rsidRDefault="00153755" w:rsidP="00153755">
      <w:pPr>
        <w:pStyle w:val="ListParagraph"/>
        <w:numPr>
          <w:ilvl w:val="0"/>
          <w:numId w:val="1"/>
        </w:numPr>
        <w:rPr>
          <w:rFonts w:ascii="Arial" w:hAnsi="Arial" w:cs="Arial"/>
        </w:rPr>
      </w:pPr>
      <w:r w:rsidRPr="00153755">
        <w:rPr>
          <w:rFonts w:ascii="Arial" w:hAnsi="Arial" w:cs="Arial"/>
        </w:rPr>
        <w:t xml:space="preserve">Rule up a table like the one below in your book.  </w:t>
      </w:r>
    </w:p>
    <w:p w:rsidR="00153755" w:rsidRDefault="00153755">
      <w:pPr>
        <w:rPr>
          <w:rFonts w:ascii="Arial" w:hAnsi="Arial" w:cs="Arial"/>
        </w:rPr>
      </w:pPr>
      <w:r w:rsidRPr="00153755">
        <w:rPr>
          <w:rFonts w:ascii="Arial" w:hAnsi="Arial" w:cs="Arial"/>
        </w:rPr>
        <w:t>Use this resource and access to the website via the link to complete the table.</w:t>
      </w:r>
    </w:p>
    <w:p w:rsidR="00522895" w:rsidRPr="00153755" w:rsidRDefault="00522895" w:rsidP="00522895">
      <w:pPr>
        <w:rPr>
          <w:rFonts w:ascii="Arial" w:hAnsi="Arial" w:cs="Arial"/>
          <w:i/>
        </w:rPr>
      </w:pPr>
      <w:r w:rsidRPr="00153755">
        <w:rPr>
          <w:rFonts w:ascii="Arial" w:hAnsi="Arial" w:cs="Arial"/>
          <w:i/>
        </w:rPr>
        <w:t>http://hdr.undp.org/en/countries</w:t>
      </w:r>
    </w:p>
    <w:p w:rsidR="00522895" w:rsidRPr="00153755" w:rsidRDefault="00522895">
      <w:pPr>
        <w:rPr>
          <w:rFonts w:ascii="Arial" w:hAnsi="Arial" w:cs="Arial"/>
        </w:rPr>
      </w:pPr>
      <w:bookmarkStart w:id="0" w:name="_GoBack"/>
      <w:bookmarkEnd w:id="0"/>
    </w:p>
    <w:p w:rsidR="00045C49" w:rsidRPr="00153755" w:rsidRDefault="00153755" w:rsidP="00153755">
      <w:pPr>
        <w:jc w:val="center"/>
        <w:rPr>
          <w:rFonts w:ascii="Arial" w:hAnsi="Arial" w:cs="Arial"/>
          <w:b/>
        </w:rPr>
      </w:pPr>
      <w:r w:rsidRPr="00153755">
        <w:rPr>
          <w:rFonts w:ascii="Arial" w:hAnsi="Arial" w:cs="Arial"/>
          <w:b/>
        </w:rPr>
        <w:t>Difference in development within China</w:t>
      </w:r>
    </w:p>
    <w:tbl>
      <w:tblPr>
        <w:tblStyle w:val="TableGrid"/>
        <w:tblW w:w="0" w:type="auto"/>
        <w:tblLook w:val="04A0" w:firstRow="1" w:lastRow="0" w:firstColumn="1" w:lastColumn="0" w:noHBand="0" w:noVBand="1"/>
      </w:tblPr>
      <w:tblGrid>
        <w:gridCol w:w="1072"/>
        <w:gridCol w:w="2514"/>
        <w:gridCol w:w="2950"/>
        <w:gridCol w:w="2480"/>
      </w:tblGrid>
      <w:tr w:rsidR="005D0DC8" w:rsidRPr="00153755" w:rsidTr="005D0DC8">
        <w:tc>
          <w:tcPr>
            <w:tcW w:w="1007" w:type="dxa"/>
          </w:tcPr>
          <w:p w:rsidR="005D0DC8" w:rsidRPr="00153755" w:rsidRDefault="005D0DC8">
            <w:pPr>
              <w:rPr>
                <w:rFonts w:ascii="Arial" w:hAnsi="Arial" w:cs="Arial"/>
              </w:rPr>
            </w:pPr>
            <w:r w:rsidRPr="00153755">
              <w:rPr>
                <w:rFonts w:ascii="Arial" w:hAnsi="Arial" w:cs="Arial"/>
              </w:rPr>
              <w:t>Measure</w:t>
            </w:r>
          </w:p>
        </w:tc>
        <w:tc>
          <w:tcPr>
            <w:tcW w:w="2532" w:type="dxa"/>
          </w:tcPr>
          <w:p w:rsidR="005D0DC8" w:rsidRPr="00153755" w:rsidRDefault="005D0DC8">
            <w:pPr>
              <w:rPr>
                <w:rFonts w:ascii="Arial" w:hAnsi="Arial" w:cs="Arial"/>
              </w:rPr>
            </w:pPr>
            <w:r w:rsidRPr="00153755">
              <w:rPr>
                <w:rFonts w:ascii="Arial" w:hAnsi="Arial" w:cs="Arial"/>
              </w:rPr>
              <w:t>What does this measure tell us about</w:t>
            </w:r>
            <w:r w:rsidRPr="00153755">
              <w:rPr>
                <w:rFonts w:ascii="Arial" w:hAnsi="Arial" w:cs="Arial"/>
                <w:i/>
              </w:rPr>
              <w:t xml:space="preserve"> differences in development within China?</w:t>
            </w:r>
          </w:p>
        </w:tc>
        <w:tc>
          <w:tcPr>
            <w:tcW w:w="2977" w:type="dxa"/>
          </w:tcPr>
          <w:p w:rsidR="005D0DC8" w:rsidRPr="00153755" w:rsidRDefault="005D0DC8">
            <w:pPr>
              <w:rPr>
                <w:rFonts w:ascii="Arial" w:hAnsi="Arial" w:cs="Arial"/>
              </w:rPr>
            </w:pPr>
            <w:r w:rsidRPr="00153755">
              <w:rPr>
                <w:rFonts w:ascii="Arial" w:hAnsi="Arial" w:cs="Arial"/>
              </w:rPr>
              <w:t>What are the advantages of using this measure</w:t>
            </w:r>
          </w:p>
        </w:tc>
        <w:tc>
          <w:tcPr>
            <w:tcW w:w="2500" w:type="dxa"/>
          </w:tcPr>
          <w:p w:rsidR="005D0DC8" w:rsidRPr="00153755" w:rsidRDefault="005D0DC8">
            <w:pPr>
              <w:rPr>
                <w:rFonts w:ascii="Arial" w:hAnsi="Arial" w:cs="Arial"/>
              </w:rPr>
            </w:pPr>
            <w:r w:rsidRPr="00153755">
              <w:rPr>
                <w:rFonts w:ascii="Arial" w:hAnsi="Arial" w:cs="Arial"/>
              </w:rPr>
              <w:t>What are the constraints of using this measure</w:t>
            </w:r>
          </w:p>
        </w:tc>
      </w:tr>
      <w:tr w:rsidR="005D0DC8" w:rsidRPr="00153755" w:rsidTr="005D0DC8">
        <w:tc>
          <w:tcPr>
            <w:tcW w:w="1007" w:type="dxa"/>
          </w:tcPr>
          <w:p w:rsidR="005D0DC8" w:rsidRPr="00153755" w:rsidRDefault="005D0DC8">
            <w:pPr>
              <w:rPr>
                <w:rFonts w:ascii="Arial" w:hAnsi="Arial" w:cs="Arial"/>
              </w:rPr>
            </w:pPr>
            <w:r w:rsidRPr="00153755">
              <w:rPr>
                <w:rFonts w:ascii="Arial" w:hAnsi="Arial" w:cs="Arial"/>
              </w:rPr>
              <w:t>GINI</w:t>
            </w:r>
          </w:p>
        </w:tc>
        <w:tc>
          <w:tcPr>
            <w:tcW w:w="2532" w:type="dxa"/>
          </w:tcPr>
          <w:p w:rsidR="005D0DC8" w:rsidRDefault="005D0DC8">
            <w:pPr>
              <w:rPr>
                <w:rFonts w:ascii="Arial" w:hAnsi="Arial" w:cs="Arial"/>
              </w:rPr>
            </w:pPr>
          </w:p>
          <w:p w:rsidR="00153755" w:rsidRPr="00153755" w:rsidRDefault="00153755">
            <w:pPr>
              <w:rPr>
                <w:rFonts w:ascii="Arial" w:hAnsi="Arial" w:cs="Arial"/>
              </w:rPr>
            </w:pPr>
          </w:p>
        </w:tc>
        <w:tc>
          <w:tcPr>
            <w:tcW w:w="2977" w:type="dxa"/>
          </w:tcPr>
          <w:p w:rsidR="005D0DC8" w:rsidRPr="00153755" w:rsidRDefault="005D0DC8">
            <w:pPr>
              <w:rPr>
                <w:rFonts w:ascii="Arial" w:hAnsi="Arial" w:cs="Arial"/>
              </w:rPr>
            </w:pPr>
          </w:p>
        </w:tc>
        <w:tc>
          <w:tcPr>
            <w:tcW w:w="2500" w:type="dxa"/>
          </w:tcPr>
          <w:p w:rsidR="005D0DC8" w:rsidRPr="00153755" w:rsidRDefault="005D0DC8">
            <w:pPr>
              <w:rPr>
                <w:rFonts w:ascii="Arial" w:hAnsi="Arial" w:cs="Arial"/>
              </w:rPr>
            </w:pPr>
          </w:p>
        </w:tc>
      </w:tr>
      <w:tr w:rsidR="005D0DC8" w:rsidRPr="00153755" w:rsidTr="005D0DC8">
        <w:tc>
          <w:tcPr>
            <w:tcW w:w="1007" w:type="dxa"/>
          </w:tcPr>
          <w:p w:rsidR="005D0DC8" w:rsidRPr="00153755" w:rsidRDefault="005D0DC8">
            <w:pPr>
              <w:rPr>
                <w:rFonts w:ascii="Arial" w:hAnsi="Arial" w:cs="Arial"/>
              </w:rPr>
            </w:pPr>
            <w:r w:rsidRPr="00153755">
              <w:rPr>
                <w:rFonts w:ascii="Arial" w:hAnsi="Arial" w:cs="Arial"/>
              </w:rPr>
              <w:t>GDI</w:t>
            </w:r>
          </w:p>
        </w:tc>
        <w:tc>
          <w:tcPr>
            <w:tcW w:w="2532" w:type="dxa"/>
          </w:tcPr>
          <w:p w:rsidR="005D0DC8" w:rsidRDefault="005D0DC8">
            <w:pPr>
              <w:rPr>
                <w:rFonts w:ascii="Arial" w:hAnsi="Arial" w:cs="Arial"/>
              </w:rPr>
            </w:pPr>
          </w:p>
          <w:p w:rsidR="00153755" w:rsidRPr="00153755" w:rsidRDefault="00153755">
            <w:pPr>
              <w:rPr>
                <w:rFonts w:ascii="Arial" w:hAnsi="Arial" w:cs="Arial"/>
              </w:rPr>
            </w:pPr>
          </w:p>
        </w:tc>
        <w:tc>
          <w:tcPr>
            <w:tcW w:w="2977" w:type="dxa"/>
          </w:tcPr>
          <w:p w:rsidR="005D0DC8" w:rsidRPr="00153755" w:rsidRDefault="005D0DC8">
            <w:pPr>
              <w:rPr>
                <w:rFonts w:ascii="Arial" w:hAnsi="Arial" w:cs="Arial"/>
              </w:rPr>
            </w:pPr>
          </w:p>
        </w:tc>
        <w:tc>
          <w:tcPr>
            <w:tcW w:w="2500" w:type="dxa"/>
          </w:tcPr>
          <w:p w:rsidR="005D0DC8" w:rsidRPr="00153755" w:rsidRDefault="005D0DC8">
            <w:pPr>
              <w:rPr>
                <w:rFonts w:ascii="Arial" w:hAnsi="Arial" w:cs="Arial"/>
              </w:rPr>
            </w:pPr>
          </w:p>
        </w:tc>
      </w:tr>
      <w:tr w:rsidR="005D0DC8" w:rsidRPr="00153755" w:rsidTr="005D0DC8">
        <w:tc>
          <w:tcPr>
            <w:tcW w:w="1007" w:type="dxa"/>
          </w:tcPr>
          <w:p w:rsidR="005D0DC8" w:rsidRPr="00153755" w:rsidRDefault="005D0DC8">
            <w:pPr>
              <w:rPr>
                <w:rFonts w:ascii="Arial" w:hAnsi="Arial" w:cs="Arial"/>
              </w:rPr>
            </w:pPr>
            <w:r w:rsidRPr="00153755">
              <w:rPr>
                <w:rFonts w:ascii="Arial" w:hAnsi="Arial" w:cs="Arial"/>
              </w:rPr>
              <w:t>GII</w:t>
            </w:r>
          </w:p>
        </w:tc>
        <w:tc>
          <w:tcPr>
            <w:tcW w:w="2532" w:type="dxa"/>
          </w:tcPr>
          <w:p w:rsidR="005D0DC8" w:rsidRDefault="005D0DC8">
            <w:pPr>
              <w:rPr>
                <w:rFonts w:ascii="Arial" w:hAnsi="Arial" w:cs="Arial"/>
              </w:rPr>
            </w:pPr>
          </w:p>
          <w:p w:rsidR="00153755" w:rsidRPr="00153755" w:rsidRDefault="00153755">
            <w:pPr>
              <w:rPr>
                <w:rFonts w:ascii="Arial" w:hAnsi="Arial" w:cs="Arial"/>
              </w:rPr>
            </w:pPr>
          </w:p>
        </w:tc>
        <w:tc>
          <w:tcPr>
            <w:tcW w:w="2977" w:type="dxa"/>
          </w:tcPr>
          <w:p w:rsidR="005D0DC8" w:rsidRPr="00153755" w:rsidRDefault="005D0DC8">
            <w:pPr>
              <w:rPr>
                <w:rFonts w:ascii="Arial" w:hAnsi="Arial" w:cs="Arial"/>
              </w:rPr>
            </w:pPr>
          </w:p>
        </w:tc>
        <w:tc>
          <w:tcPr>
            <w:tcW w:w="2500" w:type="dxa"/>
          </w:tcPr>
          <w:p w:rsidR="005D0DC8" w:rsidRPr="00153755" w:rsidRDefault="005D0DC8">
            <w:pPr>
              <w:rPr>
                <w:rFonts w:ascii="Arial" w:hAnsi="Arial" w:cs="Arial"/>
              </w:rPr>
            </w:pPr>
          </w:p>
        </w:tc>
      </w:tr>
      <w:tr w:rsidR="005D0DC8" w:rsidRPr="00153755" w:rsidTr="005D0DC8">
        <w:tc>
          <w:tcPr>
            <w:tcW w:w="1007" w:type="dxa"/>
          </w:tcPr>
          <w:p w:rsidR="005D0DC8" w:rsidRPr="00153755" w:rsidRDefault="005D0DC8">
            <w:pPr>
              <w:rPr>
                <w:rFonts w:ascii="Arial" w:hAnsi="Arial" w:cs="Arial"/>
              </w:rPr>
            </w:pPr>
            <w:r w:rsidRPr="00153755">
              <w:rPr>
                <w:rFonts w:ascii="Arial" w:hAnsi="Arial" w:cs="Arial"/>
              </w:rPr>
              <w:t>MPI</w:t>
            </w:r>
          </w:p>
        </w:tc>
        <w:tc>
          <w:tcPr>
            <w:tcW w:w="2532" w:type="dxa"/>
          </w:tcPr>
          <w:p w:rsidR="005D0DC8" w:rsidRDefault="005D0DC8">
            <w:pPr>
              <w:rPr>
                <w:rFonts w:ascii="Arial" w:hAnsi="Arial" w:cs="Arial"/>
              </w:rPr>
            </w:pPr>
          </w:p>
          <w:p w:rsidR="00153755" w:rsidRPr="00153755" w:rsidRDefault="00153755">
            <w:pPr>
              <w:rPr>
                <w:rFonts w:ascii="Arial" w:hAnsi="Arial" w:cs="Arial"/>
              </w:rPr>
            </w:pPr>
          </w:p>
        </w:tc>
        <w:tc>
          <w:tcPr>
            <w:tcW w:w="2977" w:type="dxa"/>
          </w:tcPr>
          <w:p w:rsidR="005D0DC8" w:rsidRPr="00153755" w:rsidRDefault="005D0DC8">
            <w:pPr>
              <w:rPr>
                <w:rFonts w:ascii="Arial" w:hAnsi="Arial" w:cs="Arial"/>
              </w:rPr>
            </w:pPr>
          </w:p>
        </w:tc>
        <w:tc>
          <w:tcPr>
            <w:tcW w:w="2500" w:type="dxa"/>
          </w:tcPr>
          <w:p w:rsidR="005D0DC8" w:rsidRPr="00153755" w:rsidRDefault="005D0DC8">
            <w:pPr>
              <w:rPr>
                <w:rFonts w:ascii="Arial" w:hAnsi="Arial" w:cs="Arial"/>
              </w:rPr>
            </w:pPr>
          </w:p>
        </w:tc>
      </w:tr>
    </w:tbl>
    <w:p w:rsidR="00CD2051" w:rsidRDefault="00CD2051">
      <w:pPr>
        <w:rPr>
          <w:rFonts w:ascii="Arial" w:hAnsi="Arial" w:cs="Arial"/>
        </w:rPr>
      </w:pPr>
    </w:p>
    <w:p w:rsidR="00045C49" w:rsidRPr="00CD2051" w:rsidRDefault="00CD2051" w:rsidP="00CD2051">
      <w:pPr>
        <w:pStyle w:val="ListParagraph"/>
        <w:numPr>
          <w:ilvl w:val="0"/>
          <w:numId w:val="1"/>
        </w:numPr>
        <w:rPr>
          <w:rFonts w:ascii="Arial" w:hAnsi="Arial" w:cs="Arial"/>
        </w:rPr>
      </w:pPr>
      <w:r>
        <w:rPr>
          <w:rFonts w:ascii="Arial" w:hAnsi="Arial" w:cs="Arial"/>
        </w:rPr>
        <w:t>Comment on the differences in development within China using two different perspectives.</w:t>
      </w:r>
    </w:p>
    <w:p w:rsidR="00045C49" w:rsidRPr="00153755" w:rsidRDefault="00045C49">
      <w:pPr>
        <w:rPr>
          <w:rFonts w:ascii="Arial" w:hAnsi="Arial" w:cs="Arial"/>
        </w:rPr>
      </w:pPr>
    </w:p>
    <w:sectPr w:rsidR="00045C49" w:rsidRPr="0015375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895" w:rsidRDefault="00522895" w:rsidP="00522895">
      <w:pPr>
        <w:spacing w:after="0" w:line="240" w:lineRule="auto"/>
      </w:pPr>
      <w:r>
        <w:separator/>
      </w:r>
    </w:p>
  </w:endnote>
  <w:endnote w:type="continuationSeparator" w:id="0">
    <w:p w:rsidR="00522895" w:rsidRDefault="00522895" w:rsidP="00522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895" w:rsidRDefault="00522895">
    <w:pPr>
      <w:pStyle w:val="Footer"/>
    </w:pPr>
    <w:r>
      <w:t>Geography 2.3</w:t>
    </w:r>
  </w:p>
  <w:p w:rsidR="00522895" w:rsidRDefault="00522895">
    <w:pPr>
      <w:pStyle w:val="Footer"/>
    </w:pPr>
    <w:r>
      <w:t>Worksheet three</w:t>
    </w:r>
  </w:p>
  <w:p w:rsidR="00522895" w:rsidRDefault="005228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895" w:rsidRDefault="00522895" w:rsidP="00522895">
      <w:pPr>
        <w:spacing w:after="0" w:line="240" w:lineRule="auto"/>
      </w:pPr>
      <w:r>
        <w:separator/>
      </w:r>
    </w:p>
  </w:footnote>
  <w:footnote w:type="continuationSeparator" w:id="0">
    <w:p w:rsidR="00522895" w:rsidRDefault="00522895" w:rsidP="00522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424331"/>
    <w:multiLevelType w:val="hybridMultilevel"/>
    <w:tmpl w:val="7AF0A97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0D"/>
    <w:rsid w:val="00045C49"/>
    <w:rsid w:val="00153755"/>
    <w:rsid w:val="0026430D"/>
    <w:rsid w:val="004970B5"/>
    <w:rsid w:val="004A6101"/>
    <w:rsid w:val="00522895"/>
    <w:rsid w:val="005D0DC8"/>
    <w:rsid w:val="00C15581"/>
    <w:rsid w:val="00CD2051"/>
    <w:rsid w:val="00F675E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741C4-FDEC-4D6C-A624-AA7C74FE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3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0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3755"/>
    <w:pPr>
      <w:ind w:left="720"/>
      <w:contextualSpacing/>
    </w:pPr>
  </w:style>
  <w:style w:type="paragraph" w:styleId="Header">
    <w:name w:val="header"/>
    <w:basedOn w:val="Normal"/>
    <w:link w:val="HeaderChar"/>
    <w:uiPriority w:val="99"/>
    <w:unhideWhenUsed/>
    <w:rsid w:val="00522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895"/>
  </w:style>
  <w:style w:type="paragraph" w:styleId="Footer">
    <w:name w:val="footer"/>
    <w:basedOn w:val="Normal"/>
    <w:link w:val="FooterChar"/>
    <w:uiPriority w:val="99"/>
    <w:unhideWhenUsed/>
    <w:rsid w:val="00522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ITS</cp:lastModifiedBy>
  <cp:revision>7</cp:revision>
  <dcterms:created xsi:type="dcterms:W3CDTF">2016-03-20T02:19:00Z</dcterms:created>
  <dcterms:modified xsi:type="dcterms:W3CDTF">2016-04-08T23:27:00Z</dcterms:modified>
</cp:coreProperties>
</file>