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FC6" w:rsidRPr="00E41FBE" w:rsidRDefault="00F54FC6" w:rsidP="00F54FC6">
      <w:pPr>
        <w:pStyle w:val="Heading5"/>
        <w:rPr>
          <w:lang w:val="en-US"/>
        </w:rPr>
      </w:pPr>
      <w:r w:rsidRPr="00E41FBE">
        <w:rPr>
          <w:lang w:val="en-US"/>
        </w:rPr>
        <w:t>Market failure</w:t>
      </w:r>
    </w:p>
    <w:p w:rsidR="00F54FC6" w:rsidRPr="00E41FBE" w:rsidRDefault="00CC6FD6" w:rsidP="00F54FC6">
      <w:pPr>
        <w:pStyle w:val="Heading1"/>
        <w:rPr>
          <w:lang w:val="en-US"/>
        </w:rPr>
      </w:pPr>
      <w:r>
        <w:rPr>
          <w:lang w:val="en-US"/>
        </w:rPr>
        <w:t>Exercise</w:t>
      </w:r>
      <w:bookmarkStart w:id="0" w:name="_GoBack"/>
      <w:bookmarkEnd w:id="0"/>
      <w:r w:rsidR="000E1568">
        <w:rPr>
          <w:lang w:val="en-US"/>
        </w:rPr>
        <w:t xml:space="preserve"> 7.0</w:t>
      </w:r>
      <w:r w:rsidR="00F54FC6">
        <w:rPr>
          <w:lang w:val="en-US"/>
        </w:rPr>
        <w:t xml:space="preserve"> Mix and Match Key Terms</w:t>
      </w:r>
    </w:p>
    <w:tbl>
      <w:tblPr>
        <w:tblStyle w:val="TableGrid"/>
        <w:tblW w:w="0" w:type="auto"/>
        <w:tblLook w:val="04A0" w:firstRow="1" w:lastRow="0" w:firstColumn="1" w:lastColumn="0" w:noHBand="0" w:noVBand="1"/>
      </w:tblPr>
      <w:tblGrid>
        <w:gridCol w:w="1792"/>
        <w:gridCol w:w="1511"/>
        <w:gridCol w:w="5713"/>
      </w:tblGrid>
      <w:tr w:rsidR="00F54FC6" w:rsidTr="00B66F62">
        <w:tc>
          <w:tcPr>
            <w:tcW w:w="1809" w:type="dxa"/>
          </w:tcPr>
          <w:p w:rsidR="00F54FC6" w:rsidRPr="007B6648" w:rsidRDefault="00F54FC6" w:rsidP="00B66F62">
            <w:pPr>
              <w:spacing w:after="200" w:line="276" w:lineRule="auto"/>
              <w:rPr>
                <w:bCs/>
                <w:sz w:val="22"/>
                <w:szCs w:val="22"/>
                <w:lang w:val="en-US"/>
              </w:rPr>
            </w:pPr>
            <w:r w:rsidRPr="007B6648">
              <w:rPr>
                <w:bCs/>
                <w:sz w:val="22"/>
                <w:szCs w:val="22"/>
                <w:lang w:val="en-US"/>
              </w:rPr>
              <w:t>Externalities</w:t>
            </w:r>
          </w:p>
        </w:tc>
        <w:tc>
          <w:tcPr>
            <w:tcW w:w="1560" w:type="dxa"/>
          </w:tcPr>
          <w:p w:rsidR="00F54FC6" w:rsidRPr="00E41FBE" w:rsidRDefault="00F54FC6" w:rsidP="00B66F62">
            <w:pPr>
              <w:rPr>
                <w:sz w:val="22"/>
                <w:szCs w:val="22"/>
                <w:lang w:val="en-GB"/>
              </w:rPr>
            </w:pPr>
          </w:p>
        </w:tc>
        <w:tc>
          <w:tcPr>
            <w:tcW w:w="5873" w:type="dxa"/>
          </w:tcPr>
          <w:p w:rsidR="00F54FC6" w:rsidRDefault="00F54FC6" w:rsidP="00B66F62">
            <w:pPr>
              <w:spacing w:after="200" w:line="276" w:lineRule="auto"/>
              <w:rPr>
                <w:b/>
                <w:bCs/>
                <w:sz w:val="22"/>
                <w:szCs w:val="22"/>
                <w:lang w:val="en-US"/>
              </w:rPr>
            </w:pPr>
            <w:r w:rsidRPr="00E41FBE">
              <w:rPr>
                <w:sz w:val="22"/>
                <w:szCs w:val="22"/>
                <w:lang w:val="en-GB"/>
              </w:rPr>
              <w:t>A good considered to be socially harmful. It usually has external costs</w:t>
            </w:r>
            <w:r>
              <w:rPr>
                <w:sz w:val="22"/>
                <w:szCs w:val="22"/>
                <w:lang w:val="en-GB"/>
              </w:rPr>
              <w:t>.</w:t>
            </w:r>
          </w:p>
        </w:tc>
      </w:tr>
      <w:tr w:rsidR="00F54FC6" w:rsidTr="00B66F62">
        <w:tc>
          <w:tcPr>
            <w:tcW w:w="1809" w:type="dxa"/>
          </w:tcPr>
          <w:p w:rsidR="00F54FC6" w:rsidRPr="007B6648" w:rsidRDefault="00F54FC6" w:rsidP="00B66F62">
            <w:pPr>
              <w:spacing w:after="200" w:line="276" w:lineRule="auto"/>
              <w:rPr>
                <w:bCs/>
                <w:sz w:val="22"/>
                <w:szCs w:val="22"/>
                <w:lang w:val="en-US"/>
              </w:rPr>
            </w:pPr>
            <w:r w:rsidRPr="007B6648">
              <w:rPr>
                <w:bCs/>
                <w:sz w:val="22"/>
                <w:szCs w:val="22"/>
                <w:lang w:val="en-US"/>
              </w:rPr>
              <w:t>Private costs</w:t>
            </w:r>
          </w:p>
        </w:tc>
        <w:tc>
          <w:tcPr>
            <w:tcW w:w="1560" w:type="dxa"/>
          </w:tcPr>
          <w:p w:rsidR="00F54FC6" w:rsidRPr="00E41FBE" w:rsidRDefault="00F54FC6" w:rsidP="00B66F62">
            <w:pPr>
              <w:rPr>
                <w:sz w:val="22"/>
                <w:szCs w:val="22"/>
                <w:lang w:val="en-GB"/>
              </w:rPr>
            </w:pPr>
          </w:p>
        </w:tc>
        <w:tc>
          <w:tcPr>
            <w:tcW w:w="5873" w:type="dxa"/>
          </w:tcPr>
          <w:p w:rsidR="00F54FC6" w:rsidRDefault="00F54FC6" w:rsidP="00B66F62">
            <w:pPr>
              <w:spacing w:after="200" w:line="276" w:lineRule="auto"/>
              <w:rPr>
                <w:b/>
                <w:bCs/>
                <w:sz w:val="22"/>
                <w:szCs w:val="22"/>
                <w:lang w:val="en-US"/>
              </w:rPr>
            </w:pPr>
            <w:r w:rsidRPr="00E41FBE">
              <w:rPr>
                <w:sz w:val="22"/>
                <w:szCs w:val="22"/>
                <w:lang w:val="en-GB"/>
              </w:rPr>
              <w:t>As opposed to a private good. It has non excludability (which means that if it is produced no one can be excluded from its use) and</w:t>
            </w:r>
            <w:r>
              <w:rPr>
                <w:sz w:val="22"/>
                <w:szCs w:val="22"/>
                <w:lang w:val="en-GB"/>
              </w:rPr>
              <w:t xml:space="preserve"> </w:t>
            </w:r>
            <w:proofErr w:type="spellStart"/>
            <w:r w:rsidRPr="00E41FBE">
              <w:rPr>
                <w:sz w:val="22"/>
                <w:szCs w:val="22"/>
                <w:lang w:val="en-GB"/>
              </w:rPr>
              <w:t>non rivalry</w:t>
            </w:r>
            <w:proofErr w:type="spellEnd"/>
            <w:r w:rsidRPr="00E41FBE">
              <w:rPr>
                <w:sz w:val="22"/>
                <w:szCs w:val="22"/>
                <w:lang w:val="en-GB"/>
              </w:rPr>
              <w:t xml:space="preserve"> (one person benefiting doesn’t reduce the amount available for others)</w:t>
            </w:r>
          </w:p>
        </w:tc>
      </w:tr>
      <w:tr w:rsidR="00F54FC6" w:rsidTr="00B66F62">
        <w:tc>
          <w:tcPr>
            <w:tcW w:w="1809" w:type="dxa"/>
          </w:tcPr>
          <w:p w:rsidR="00F54FC6" w:rsidRPr="007B6648" w:rsidRDefault="00F54FC6" w:rsidP="00B66F62">
            <w:pPr>
              <w:rPr>
                <w:bCs/>
                <w:sz w:val="22"/>
                <w:szCs w:val="22"/>
                <w:lang w:val="en-US"/>
              </w:rPr>
            </w:pPr>
            <w:r w:rsidRPr="007B6648">
              <w:rPr>
                <w:bCs/>
                <w:sz w:val="22"/>
                <w:szCs w:val="22"/>
                <w:lang w:val="en-US"/>
              </w:rPr>
              <w:t>External costs</w:t>
            </w:r>
          </w:p>
          <w:p w:rsidR="00F54FC6" w:rsidRPr="007B6648" w:rsidRDefault="00F54FC6" w:rsidP="00B66F62">
            <w:pPr>
              <w:rPr>
                <w:bCs/>
                <w:sz w:val="22"/>
                <w:szCs w:val="22"/>
                <w:lang w:val="en-US"/>
              </w:rPr>
            </w:pPr>
          </w:p>
        </w:tc>
        <w:tc>
          <w:tcPr>
            <w:tcW w:w="1560" w:type="dxa"/>
          </w:tcPr>
          <w:p w:rsidR="00F54FC6" w:rsidRPr="00E41FBE" w:rsidRDefault="00F54FC6" w:rsidP="00B66F62">
            <w:pPr>
              <w:rPr>
                <w:sz w:val="22"/>
                <w:szCs w:val="22"/>
                <w:lang w:val="en-GB"/>
              </w:rPr>
            </w:pPr>
          </w:p>
        </w:tc>
        <w:tc>
          <w:tcPr>
            <w:tcW w:w="5873" w:type="dxa"/>
          </w:tcPr>
          <w:p w:rsidR="00F54FC6" w:rsidRDefault="00F54FC6" w:rsidP="00B66F62">
            <w:pPr>
              <w:spacing w:after="200" w:line="276" w:lineRule="auto"/>
              <w:rPr>
                <w:b/>
                <w:bCs/>
                <w:sz w:val="22"/>
                <w:szCs w:val="22"/>
                <w:lang w:val="en-US"/>
              </w:rPr>
            </w:pPr>
            <w:r w:rsidRPr="00E41FBE">
              <w:rPr>
                <w:sz w:val="22"/>
                <w:szCs w:val="22"/>
                <w:lang w:val="en-GB"/>
              </w:rPr>
              <w:t>Devices aimed at building the full effects into the market price so that the price mechanism can be used to allocate resources efficiently because the revised price reflects the full costs. This is called internalizing the externality.</w:t>
            </w:r>
          </w:p>
        </w:tc>
      </w:tr>
      <w:tr w:rsidR="00F54FC6" w:rsidTr="00B66F62">
        <w:tc>
          <w:tcPr>
            <w:tcW w:w="1809" w:type="dxa"/>
          </w:tcPr>
          <w:p w:rsidR="00F54FC6" w:rsidRPr="007B6648" w:rsidRDefault="00F54FC6" w:rsidP="00B66F62">
            <w:pPr>
              <w:spacing w:after="200" w:line="276" w:lineRule="auto"/>
              <w:rPr>
                <w:bCs/>
                <w:sz w:val="22"/>
                <w:szCs w:val="22"/>
                <w:lang w:val="en-US"/>
              </w:rPr>
            </w:pPr>
            <w:r w:rsidRPr="007B6648">
              <w:rPr>
                <w:bCs/>
                <w:sz w:val="22"/>
                <w:szCs w:val="22"/>
                <w:lang w:val="en-US"/>
              </w:rPr>
              <w:t>Merit goods</w:t>
            </w:r>
          </w:p>
        </w:tc>
        <w:tc>
          <w:tcPr>
            <w:tcW w:w="1560" w:type="dxa"/>
          </w:tcPr>
          <w:p w:rsidR="00F54FC6" w:rsidRPr="00E41FBE" w:rsidRDefault="00F54FC6" w:rsidP="00B66F62">
            <w:pPr>
              <w:rPr>
                <w:sz w:val="22"/>
                <w:szCs w:val="22"/>
                <w:lang w:val="en-GB"/>
              </w:rPr>
            </w:pPr>
          </w:p>
        </w:tc>
        <w:tc>
          <w:tcPr>
            <w:tcW w:w="5873" w:type="dxa"/>
          </w:tcPr>
          <w:p w:rsidR="00F54FC6" w:rsidRDefault="00F54FC6" w:rsidP="00B66F62">
            <w:pPr>
              <w:rPr>
                <w:b/>
                <w:bCs/>
                <w:sz w:val="22"/>
                <w:szCs w:val="22"/>
                <w:lang w:val="en-US"/>
              </w:rPr>
            </w:pPr>
            <w:r w:rsidRPr="00E41FBE">
              <w:rPr>
                <w:sz w:val="22"/>
                <w:szCs w:val="22"/>
                <w:lang w:val="en-GB"/>
              </w:rPr>
              <w:t>The difference between private and social costs. These are the costs experienced by a third party not directly involved in the economic activity.</w:t>
            </w:r>
          </w:p>
        </w:tc>
      </w:tr>
      <w:tr w:rsidR="00F54FC6" w:rsidTr="00B66F62">
        <w:tc>
          <w:tcPr>
            <w:tcW w:w="1809" w:type="dxa"/>
          </w:tcPr>
          <w:p w:rsidR="00F54FC6" w:rsidRPr="007B6648" w:rsidRDefault="00F54FC6" w:rsidP="00B66F62">
            <w:pPr>
              <w:spacing w:after="200" w:line="276" w:lineRule="auto"/>
              <w:rPr>
                <w:bCs/>
                <w:sz w:val="22"/>
                <w:szCs w:val="22"/>
                <w:lang w:val="en-US"/>
              </w:rPr>
            </w:pPr>
            <w:r w:rsidRPr="007B6648">
              <w:rPr>
                <w:bCs/>
                <w:sz w:val="22"/>
                <w:szCs w:val="22"/>
                <w:lang w:val="en-US"/>
              </w:rPr>
              <w:t>Demerit goods</w:t>
            </w:r>
          </w:p>
          <w:p w:rsidR="00F54FC6" w:rsidRPr="007B6648" w:rsidRDefault="00F54FC6" w:rsidP="00B66F62">
            <w:pPr>
              <w:rPr>
                <w:bCs/>
                <w:sz w:val="22"/>
                <w:szCs w:val="22"/>
                <w:lang w:val="en-US"/>
              </w:rPr>
            </w:pPr>
          </w:p>
        </w:tc>
        <w:tc>
          <w:tcPr>
            <w:tcW w:w="1560" w:type="dxa"/>
          </w:tcPr>
          <w:p w:rsidR="00F54FC6" w:rsidRPr="00E41FBE" w:rsidRDefault="00F54FC6" w:rsidP="00B66F62">
            <w:pPr>
              <w:rPr>
                <w:sz w:val="22"/>
                <w:szCs w:val="22"/>
                <w:lang w:val="en-GB"/>
              </w:rPr>
            </w:pPr>
          </w:p>
        </w:tc>
        <w:tc>
          <w:tcPr>
            <w:tcW w:w="5873" w:type="dxa"/>
          </w:tcPr>
          <w:p w:rsidR="00F54FC6" w:rsidRDefault="00F54FC6" w:rsidP="00B66F62">
            <w:pPr>
              <w:spacing w:after="200" w:line="276" w:lineRule="auto"/>
              <w:rPr>
                <w:b/>
                <w:bCs/>
                <w:sz w:val="22"/>
                <w:szCs w:val="22"/>
                <w:lang w:val="en-US"/>
              </w:rPr>
            </w:pPr>
            <w:r w:rsidRPr="00E41FBE">
              <w:rPr>
                <w:sz w:val="22"/>
                <w:szCs w:val="22"/>
                <w:lang w:val="en-GB"/>
              </w:rPr>
              <w:t>Private ownership of scarce resources which gives the legal entitlement to use &amp; sell property and the right to sue for compensation</w:t>
            </w:r>
            <w:r>
              <w:rPr>
                <w:sz w:val="22"/>
                <w:szCs w:val="22"/>
                <w:lang w:val="en-GB"/>
              </w:rPr>
              <w:t>.</w:t>
            </w:r>
          </w:p>
        </w:tc>
      </w:tr>
      <w:tr w:rsidR="00F54FC6" w:rsidTr="00B66F62">
        <w:tc>
          <w:tcPr>
            <w:tcW w:w="1809" w:type="dxa"/>
          </w:tcPr>
          <w:p w:rsidR="00F54FC6" w:rsidRPr="007B6648" w:rsidRDefault="00F54FC6" w:rsidP="00B66F62">
            <w:pPr>
              <w:spacing w:after="200" w:line="276" w:lineRule="auto"/>
              <w:rPr>
                <w:bCs/>
                <w:sz w:val="22"/>
                <w:szCs w:val="22"/>
                <w:lang w:val="en-US"/>
              </w:rPr>
            </w:pPr>
            <w:r w:rsidRPr="007B6648">
              <w:rPr>
                <w:bCs/>
                <w:sz w:val="22"/>
                <w:szCs w:val="22"/>
                <w:lang w:val="en-US"/>
              </w:rPr>
              <w:t>Market based instruments</w:t>
            </w:r>
          </w:p>
          <w:p w:rsidR="00F54FC6" w:rsidRPr="007B6648" w:rsidRDefault="00F54FC6" w:rsidP="00B66F62">
            <w:pPr>
              <w:rPr>
                <w:bCs/>
                <w:sz w:val="22"/>
                <w:szCs w:val="22"/>
                <w:lang w:val="en-US"/>
              </w:rPr>
            </w:pPr>
          </w:p>
        </w:tc>
        <w:tc>
          <w:tcPr>
            <w:tcW w:w="1560" w:type="dxa"/>
          </w:tcPr>
          <w:p w:rsidR="00F54FC6" w:rsidRPr="00CD78A0" w:rsidRDefault="00F54FC6" w:rsidP="00B66F62">
            <w:pPr>
              <w:rPr>
                <w:rFonts w:ascii="Arial" w:hAnsi="Arial" w:cs="Arial"/>
                <w:color w:val="000000"/>
                <w:szCs w:val="24"/>
                <w:lang w:val="en-GB"/>
              </w:rPr>
            </w:pPr>
          </w:p>
        </w:tc>
        <w:tc>
          <w:tcPr>
            <w:tcW w:w="5873" w:type="dxa"/>
          </w:tcPr>
          <w:p w:rsidR="00F54FC6" w:rsidRDefault="00F54FC6" w:rsidP="00B66F62">
            <w:pPr>
              <w:rPr>
                <w:b/>
                <w:bCs/>
                <w:sz w:val="22"/>
                <w:szCs w:val="22"/>
                <w:lang w:val="en-US"/>
              </w:rPr>
            </w:pPr>
            <w:r w:rsidRPr="00CD78A0">
              <w:rPr>
                <w:rFonts w:ascii="Arial" w:hAnsi="Arial" w:cs="Arial"/>
                <w:color w:val="000000"/>
                <w:szCs w:val="24"/>
                <w:lang w:val="en-GB"/>
              </w:rPr>
              <w:t>A cost or benefit of either production or consumption, which has spill-over effects that affect a third party, not paid by the producer or consumer.</w:t>
            </w:r>
          </w:p>
        </w:tc>
      </w:tr>
      <w:tr w:rsidR="00F54FC6" w:rsidTr="00B66F62">
        <w:tc>
          <w:tcPr>
            <w:tcW w:w="1809" w:type="dxa"/>
          </w:tcPr>
          <w:p w:rsidR="00F54FC6" w:rsidRPr="007B6648" w:rsidRDefault="00F54FC6" w:rsidP="00B66F62">
            <w:pPr>
              <w:spacing w:after="200" w:line="276" w:lineRule="auto"/>
              <w:rPr>
                <w:bCs/>
                <w:sz w:val="22"/>
                <w:szCs w:val="22"/>
                <w:lang w:val="en-US"/>
              </w:rPr>
            </w:pPr>
            <w:r w:rsidRPr="007B6648">
              <w:rPr>
                <w:bCs/>
                <w:sz w:val="22"/>
                <w:szCs w:val="22"/>
                <w:lang w:val="en-US"/>
              </w:rPr>
              <w:t>Property rights</w:t>
            </w:r>
          </w:p>
          <w:p w:rsidR="00F54FC6" w:rsidRPr="007B6648" w:rsidRDefault="00F54FC6" w:rsidP="00B66F62">
            <w:pPr>
              <w:rPr>
                <w:bCs/>
                <w:sz w:val="22"/>
                <w:szCs w:val="22"/>
                <w:lang w:val="en-US"/>
              </w:rPr>
            </w:pPr>
          </w:p>
        </w:tc>
        <w:tc>
          <w:tcPr>
            <w:tcW w:w="1560" w:type="dxa"/>
          </w:tcPr>
          <w:p w:rsidR="00F54FC6" w:rsidRPr="00E41FBE" w:rsidRDefault="00F54FC6" w:rsidP="00B66F62">
            <w:pPr>
              <w:rPr>
                <w:sz w:val="22"/>
                <w:szCs w:val="22"/>
                <w:lang w:val="en-US"/>
              </w:rPr>
            </w:pPr>
          </w:p>
        </w:tc>
        <w:tc>
          <w:tcPr>
            <w:tcW w:w="5873" w:type="dxa"/>
          </w:tcPr>
          <w:p w:rsidR="00F54FC6" w:rsidRDefault="00F54FC6" w:rsidP="00B66F62">
            <w:pPr>
              <w:spacing w:after="200" w:line="276" w:lineRule="auto"/>
              <w:rPr>
                <w:b/>
                <w:bCs/>
                <w:sz w:val="22"/>
                <w:szCs w:val="22"/>
                <w:lang w:val="en-US"/>
              </w:rPr>
            </w:pPr>
            <w:r w:rsidRPr="00E41FBE">
              <w:rPr>
                <w:sz w:val="22"/>
                <w:szCs w:val="22"/>
                <w:lang w:val="en-US"/>
              </w:rPr>
              <w:t>When government intervention to correct market failure leads to a net loss in economic welfare. In other words they make it worse than the market failure to begin with.</w:t>
            </w:r>
          </w:p>
        </w:tc>
      </w:tr>
      <w:tr w:rsidR="00F54FC6" w:rsidTr="00B66F62">
        <w:tc>
          <w:tcPr>
            <w:tcW w:w="1809" w:type="dxa"/>
          </w:tcPr>
          <w:p w:rsidR="00F54FC6" w:rsidRPr="007B6648" w:rsidRDefault="00F54FC6" w:rsidP="00B66F62">
            <w:pPr>
              <w:spacing w:after="200" w:line="276" w:lineRule="auto"/>
              <w:rPr>
                <w:bCs/>
                <w:sz w:val="22"/>
                <w:szCs w:val="22"/>
                <w:lang w:val="en-US"/>
              </w:rPr>
            </w:pPr>
            <w:r w:rsidRPr="007B6648">
              <w:rPr>
                <w:bCs/>
                <w:sz w:val="22"/>
                <w:szCs w:val="22"/>
                <w:lang w:val="en-US"/>
              </w:rPr>
              <w:t>Public good</w:t>
            </w:r>
          </w:p>
          <w:p w:rsidR="00F54FC6" w:rsidRPr="007B6648" w:rsidRDefault="00F54FC6" w:rsidP="00B66F62">
            <w:pPr>
              <w:rPr>
                <w:bCs/>
                <w:sz w:val="22"/>
                <w:szCs w:val="22"/>
                <w:lang w:val="en-US"/>
              </w:rPr>
            </w:pPr>
          </w:p>
        </w:tc>
        <w:tc>
          <w:tcPr>
            <w:tcW w:w="1560" w:type="dxa"/>
          </w:tcPr>
          <w:p w:rsidR="00F54FC6" w:rsidRPr="00E41FBE" w:rsidRDefault="00F54FC6" w:rsidP="00B66F62">
            <w:pPr>
              <w:rPr>
                <w:sz w:val="22"/>
                <w:szCs w:val="22"/>
                <w:lang w:val="en-GB"/>
              </w:rPr>
            </w:pPr>
          </w:p>
        </w:tc>
        <w:tc>
          <w:tcPr>
            <w:tcW w:w="5873" w:type="dxa"/>
          </w:tcPr>
          <w:p w:rsidR="00F54FC6" w:rsidRDefault="00F54FC6" w:rsidP="00B66F62">
            <w:pPr>
              <w:spacing w:after="200" w:line="276" w:lineRule="auto"/>
              <w:rPr>
                <w:b/>
                <w:bCs/>
                <w:sz w:val="22"/>
                <w:szCs w:val="22"/>
                <w:lang w:val="en-US"/>
              </w:rPr>
            </w:pPr>
            <w:r w:rsidRPr="00E41FBE">
              <w:rPr>
                <w:sz w:val="22"/>
                <w:szCs w:val="22"/>
                <w:lang w:val="en-GB"/>
              </w:rPr>
              <w:t>Costs directly incurred by consumers and producers when they engage in economic activity.</w:t>
            </w:r>
          </w:p>
        </w:tc>
      </w:tr>
      <w:tr w:rsidR="00F54FC6" w:rsidTr="00B66F62">
        <w:tc>
          <w:tcPr>
            <w:tcW w:w="1809" w:type="dxa"/>
          </w:tcPr>
          <w:p w:rsidR="00F54FC6" w:rsidRPr="007B6648" w:rsidRDefault="00F54FC6" w:rsidP="00B66F62">
            <w:pPr>
              <w:spacing w:after="200" w:line="276" w:lineRule="auto"/>
              <w:rPr>
                <w:bCs/>
                <w:sz w:val="22"/>
                <w:szCs w:val="22"/>
                <w:lang w:val="en-US"/>
              </w:rPr>
            </w:pPr>
            <w:r w:rsidRPr="007B6648">
              <w:rPr>
                <w:bCs/>
                <w:sz w:val="22"/>
                <w:szCs w:val="22"/>
                <w:lang w:val="en-GB"/>
              </w:rPr>
              <w:t>Government failure</w:t>
            </w:r>
          </w:p>
        </w:tc>
        <w:tc>
          <w:tcPr>
            <w:tcW w:w="1560" w:type="dxa"/>
          </w:tcPr>
          <w:p w:rsidR="00F54FC6" w:rsidRPr="00E41FBE" w:rsidRDefault="00F54FC6" w:rsidP="00B66F62">
            <w:pPr>
              <w:rPr>
                <w:sz w:val="22"/>
                <w:szCs w:val="22"/>
                <w:lang w:val="en-GB"/>
              </w:rPr>
            </w:pPr>
          </w:p>
        </w:tc>
        <w:tc>
          <w:tcPr>
            <w:tcW w:w="5873" w:type="dxa"/>
          </w:tcPr>
          <w:p w:rsidR="00F54FC6" w:rsidRPr="00E41FBE" w:rsidRDefault="00F54FC6" w:rsidP="00B66F62">
            <w:pPr>
              <w:spacing w:after="200" w:line="276" w:lineRule="auto"/>
              <w:rPr>
                <w:sz w:val="22"/>
                <w:szCs w:val="22"/>
                <w:lang w:val="en-GB"/>
              </w:rPr>
            </w:pPr>
            <w:r w:rsidRPr="00E41FBE">
              <w:rPr>
                <w:sz w:val="22"/>
                <w:szCs w:val="22"/>
                <w:lang w:val="en-GB"/>
              </w:rPr>
              <w:t>A good considered to be socially beneficial. It usually has external benefits</w:t>
            </w:r>
          </w:p>
          <w:p w:rsidR="00F54FC6" w:rsidRDefault="00F54FC6" w:rsidP="00B66F62">
            <w:pPr>
              <w:rPr>
                <w:b/>
                <w:bCs/>
                <w:sz w:val="22"/>
                <w:szCs w:val="22"/>
                <w:lang w:val="en-US"/>
              </w:rPr>
            </w:pPr>
          </w:p>
        </w:tc>
      </w:tr>
    </w:tbl>
    <w:p w:rsidR="00FA327F" w:rsidRDefault="00FA327F"/>
    <w:sectPr w:rsidR="00FA32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FC6"/>
    <w:rsid w:val="000E1568"/>
    <w:rsid w:val="00B04E27"/>
    <w:rsid w:val="00CC6FD6"/>
    <w:rsid w:val="00F54FC6"/>
    <w:rsid w:val="00FA327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258D5E-C24C-4984-AFE1-6A3862048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FC6"/>
    <w:pPr>
      <w:spacing w:before="200"/>
    </w:pPr>
    <w:rPr>
      <w:rFonts w:eastAsiaTheme="minorEastAsia"/>
      <w:sz w:val="20"/>
      <w:szCs w:val="20"/>
    </w:rPr>
  </w:style>
  <w:style w:type="paragraph" w:styleId="Heading1">
    <w:name w:val="heading 1"/>
    <w:basedOn w:val="Normal"/>
    <w:next w:val="Normal"/>
    <w:link w:val="Heading1Char"/>
    <w:uiPriority w:val="9"/>
    <w:qFormat/>
    <w:rsid w:val="00F54FC6"/>
    <w:pPr>
      <w:pBdr>
        <w:top w:val="single" w:sz="24" w:space="0" w:color="53548A" w:themeColor="accent1"/>
        <w:left w:val="single" w:sz="24" w:space="0" w:color="53548A" w:themeColor="accent1"/>
        <w:bottom w:val="single" w:sz="24" w:space="0" w:color="53548A" w:themeColor="accent1"/>
        <w:right w:val="single" w:sz="24" w:space="0" w:color="53548A" w:themeColor="accent1"/>
      </w:pBdr>
      <w:shd w:val="clear" w:color="auto" w:fill="53548A" w:themeFill="accent1"/>
      <w:spacing w:after="0"/>
      <w:outlineLvl w:val="0"/>
    </w:pPr>
    <w:rPr>
      <w:b/>
      <w:bCs/>
      <w:caps/>
      <w:color w:val="FFFFFF" w:themeColor="background1"/>
      <w:spacing w:val="15"/>
      <w:sz w:val="22"/>
      <w:szCs w:val="22"/>
    </w:rPr>
  </w:style>
  <w:style w:type="paragraph" w:styleId="Heading5">
    <w:name w:val="heading 5"/>
    <w:basedOn w:val="Normal"/>
    <w:next w:val="Normal"/>
    <w:link w:val="Heading5Char"/>
    <w:uiPriority w:val="9"/>
    <w:unhideWhenUsed/>
    <w:qFormat/>
    <w:rsid w:val="00F54FC6"/>
    <w:pPr>
      <w:pBdr>
        <w:bottom w:val="single" w:sz="6" w:space="1" w:color="53548A" w:themeColor="accent1"/>
      </w:pBdr>
      <w:spacing w:before="300" w:after="0"/>
      <w:outlineLvl w:val="4"/>
    </w:pPr>
    <w:rPr>
      <w:caps/>
      <w:color w:val="3E3E67" w:themeColor="accent1" w:themeShade="BF"/>
      <w:spacing w:val="1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FC6"/>
    <w:rPr>
      <w:rFonts w:eastAsiaTheme="minorEastAsia"/>
      <w:b/>
      <w:bCs/>
      <w:caps/>
      <w:color w:val="FFFFFF" w:themeColor="background1"/>
      <w:spacing w:val="15"/>
      <w:shd w:val="clear" w:color="auto" w:fill="53548A" w:themeFill="accent1"/>
    </w:rPr>
  </w:style>
  <w:style w:type="character" w:customStyle="1" w:styleId="Heading5Char">
    <w:name w:val="Heading 5 Char"/>
    <w:basedOn w:val="DefaultParagraphFont"/>
    <w:link w:val="Heading5"/>
    <w:uiPriority w:val="9"/>
    <w:rsid w:val="00F54FC6"/>
    <w:rPr>
      <w:rFonts w:eastAsiaTheme="minorEastAsia"/>
      <w:caps/>
      <w:color w:val="3E3E67" w:themeColor="accent1" w:themeShade="BF"/>
      <w:spacing w:val="10"/>
    </w:rPr>
  </w:style>
  <w:style w:type="table" w:styleId="TableGrid">
    <w:name w:val="Table Grid"/>
    <w:basedOn w:val="TableNormal"/>
    <w:uiPriority w:val="59"/>
    <w:rsid w:val="00F54FC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lwxtemplate</cp:lastModifiedBy>
  <cp:revision>4</cp:revision>
  <dcterms:created xsi:type="dcterms:W3CDTF">2015-12-14T01:30:00Z</dcterms:created>
  <dcterms:modified xsi:type="dcterms:W3CDTF">2015-12-14T21:38:00Z</dcterms:modified>
</cp:coreProperties>
</file>