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43A4" w14:textId="44B6A669" w:rsidR="00E550D2" w:rsidRPr="00E550D2" w:rsidRDefault="004B7D46" w:rsidP="00E550D2">
      <w:r w:rsidRPr="004B7D46">
        <w:rPr>
          <w:rFonts w:ascii="Open Sans Bold" w:eastAsiaTheme="majorEastAsia" w:hAnsi="Open Sans Bold" w:cstheme="majorBidi"/>
          <w:b/>
          <w:spacing w:val="-10"/>
          <w:kern w:val="28"/>
          <w:sz w:val="56"/>
          <w:szCs w:val="56"/>
        </w:rPr>
        <w:t>Methodieken voor</w:t>
      </w:r>
      <w:r>
        <w:rPr>
          <w:rFonts w:ascii="Open Sans Bold" w:eastAsiaTheme="majorEastAsia" w:hAnsi="Open Sans Bold" w:cstheme="majorBidi"/>
          <w:b/>
          <w:spacing w:val="-10"/>
          <w:kern w:val="28"/>
          <w:sz w:val="56"/>
          <w:szCs w:val="56"/>
        </w:rPr>
        <w:t xml:space="preserve"> </w:t>
      </w:r>
      <w:r w:rsidRPr="004B7D46">
        <w:rPr>
          <w:rFonts w:ascii="Open Sans Bold" w:eastAsiaTheme="majorEastAsia" w:hAnsi="Open Sans Bold" w:cstheme="majorBidi"/>
          <w:b/>
          <w:spacing w:val="-10"/>
          <w:kern w:val="28"/>
          <w:sz w:val="56"/>
          <w:szCs w:val="56"/>
        </w:rPr>
        <w:t>Waardebepaling</w:t>
      </w:r>
    </w:p>
    <w:p w14:paraId="52484408" w14:textId="77777777" w:rsidR="00E03FE4" w:rsidRDefault="00E03FE4" w:rsidP="003274CD"/>
    <w:p w14:paraId="20CCF454" w14:textId="77777777" w:rsidR="00AA2FB8" w:rsidRDefault="00AA2FB8" w:rsidP="00EE57C1">
      <w:pPr>
        <w:pStyle w:val="Kop1"/>
      </w:pPr>
      <w:r w:rsidRPr="00265EC6">
        <w:t>Methodieken voor Waardebepaling</w:t>
      </w:r>
    </w:p>
    <w:p w14:paraId="49B70132" w14:textId="773ADD74" w:rsidR="00AA2FB8" w:rsidRPr="00EE57C1" w:rsidRDefault="00AA2FB8" w:rsidP="00AA2FB8">
      <w:pPr>
        <w:spacing w:line="288" w:lineRule="auto"/>
        <w:rPr>
          <w:b/>
          <w:bCs/>
          <w:szCs w:val="20"/>
        </w:rPr>
      </w:pPr>
      <w:r w:rsidRPr="00EE57C1">
        <w:rPr>
          <w:szCs w:val="20"/>
        </w:rPr>
        <w:t xml:space="preserve">Als projectleider wil je goed onderbouwde keuzes maken over de inzet van een zorgtechnologie. Daarvoor is het belangrijk om de waarde en impact van de technologie systematisch te beoordelen. Er zijn verschillende methodieken die je kunt gebruiken om een zorgtechnologie te </w:t>
      </w:r>
      <w:r w:rsidRPr="007F5306">
        <w:rPr>
          <w:rStyle w:val="Zwaar"/>
          <w:b w:val="0"/>
          <w:bCs w:val="0"/>
          <w:szCs w:val="20"/>
        </w:rPr>
        <w:t>waarderen en evalueren</w:t>
      </w:r>
      <w:r w:rsidRPr="007F5306">
        <w:rPr>
          <w:b/>
          <w:bCs/>
          <w:szCs w:val="20"/>
        </w:rPr>
        <w:t>.</w:t>
      </w:r>
      <w:r w:rsidRPr="00EE57C1">
        <w:rPr>
          <w:szCs w:val="20"/>
        </w:rPr>
        <w:t xml:space="preserve"> Ze bieden input voor het opstellen van een </w:t>
      </w:r>
      <w:r w:rsidRPr="007F5306">
        <w:rPr>
          <w:rStyle w:val="Zwaar"/>
          <w:b w:val="0"/>
          <w:bCs w:val="0"/>
          <w:szCs w:val="20"/>
        </w:rPr>
        <w:t>business case</w:t>
      </w:r>
      <w:r w:rsidRPr="00EE57C1">
        <w:rPr>
          <w:szCs w:val="20"/>
        </w:rPr>
        <w:t xml:space="preserve"> en helpen bij de </w:t>
      </w:r>
      <w:r w:rsidRPr="007F5306">
        <w:rPr>
          <w:rStyle w:val="Zwaar"/>
          <w:b w:val="0"/>
          <w:bCs w:val="0"/>
          <w:szCs w:val="20"/>
        </w:rPr>
        <w:t>besluitvorming over opschaling</w:t>
      </w:r>
      <w:r w:rsidR="007F5306" w:rsidRPr="007F5306">
        <w:rPr>
          <w:szCs w:val="20"/>
        </w:rPr>
        <w:t>.</w:t>
      </w:r>
    </w:p>
    <w:p w14:paraId="2C19616A" w14:textId="77777777" w:rsidR="00145189" w:rsidRPr="00EE57C1" w:rsidRDefault="00145189" w:rsidP="00AA2FB8">
      <w:pPr>
        <w:rPr>
          <w:szCs w:val="20"/>
        </w:rPr>
      </w:pPr>
    </w:p>
    <w:p w14:paraId="0CB5B9E0" w14:textId="4D896CA2" w:rsidR="00AA2FB8" w:rsidRPr="00EE57C1" w:rsidRDefault="00AA2FB8" w:rsidP="00AA2FB8">
      <w:pPr>
        <w:rPr>
          <w:szCs w:val="20"/>
        </w:rPr>
      </w:pPr>
      <w:r w:rsidRPr="00EE57C1">
        <w:rPr>
          <w:szCs w:val="20"/>
        </w:rPr>
        <w:t>Met dit overzicht kun je nagaan of jouw organisatie al ervaring heeft met een van deze methodieken en daarop aansluiten, of een passende methodiek kiezen die bij de vraag en context past.</w:t>
      </w:r>
    </w:p>
    <w:p w14:paraId="6F900FF5" w14:textId="77777777" w:rsidR="00145189" w:rsidRDefault="00145189" w:rsidP="00433449">
      <w:pPr>
        <w:pStyle w:val="Kop2"/>
      </w:pPr>
    </w:p>
    <w:p w14:paraId="32A890A1" w14:textId="64BADBD3" w:rsidR="00AA2FB8" w:rsidRDefault="00AA2FB8" w:rsidP="00433449">
      <w:pPr>
        <w:pStyle w:val="Kop2"/>
      </w:pPr>
      <w:r w:rsidRPr="7983909F">
        <w:t>Vier Methodieken</w:t>
      </w:r>
    </w:p>
    <w:p w14:paraId="07C14A8E" w14:textId="77777777" w:rsidR="00AA2FB8" w:rsidRDefault="00AA2FB8" w:rsidP="00AA2FB8">
      <w:r w:rsidRPr="7983909F">
        <w:t xml:space="preserve">We nemen de vier methodieken van de partijen uit het </w:t>
      </w:r>
      <w:hyperlink r:id="rId11">
        <w:r w:rsidRPr="7983909F">
          <w:rPr>
            <w:rStyle w:val="Hyperlink"/>
            <w:rFonts w:ascii="Calibri" w:hAnsi="Calibri" w:cs="Calibri"/>
            <w:sz w:val="22"/>
          </w:rPr>
          <w:t>Consortium Waardebepaling</w:t>
        </w:r>
      </w:hyperlink>
      <w:r w:rsidRPr="7983909F">
        <w:t xml:space="preserve"> met je door; </w:t>
      </w:r>
      <w:hyperlink r:id="rId12">
        <w:r w:rsidRPr="7983909F">
          <w:rPr>
            <w:rStyle w:val="Hyperlink"/>
            <w:rFonts w:ascii="Calibri" w:hAnsi="Calibri" w:cs="Calibri"/>
            <w:sz w:val="22"/>
          </w:rPr>
          <w:t>de Health Technology Assessment (HTA) van Kennisplein gehandicaptensector</w:t>
        </w:r>
      </w:hyperlink>
      <w:r w:rsidRPr="7983909F">
        <w:t xml:space="preserve">, </w:t>
      </w:r>
      <w:hyperlink r:id="rId13">
        <w:r w:rsidRPr="7983909F">
          <w:rPr>
            <w:rStyle w:val="Hyperlink"/>
            <w:rFonts w:ascii="Calibri" w:hAnsi="Calibri" w:cs="Calibri"/>
            <w:sz w:val="22"/>
          </w:rPr>
          <w:t>de Waardewaaier van Vilans</w:t>
        </w:r>
      </w:hyperlink>
      <w:r w:rsidRPr="7983909F">
        <w:t xml:space="preserve">, </w:t>
      </w:r>
      <w:hyperlink r:id="rId14">
        <w:r>
          <w:rPr>
            <w:rStyle w:val="Hyperlink"/>
            <w:rFonts w:ascii="Calibri" w:hAnsi="Calibri" w:cs="Calibri"/>
            <w:sz w:val="22"/>
          </w:rPr>
          <w:t>de Waardebepaling in de praktijk van Digizo.nu</w:t>
        </w:r>
      </w:hyperlink>
      <w:r w:rsidRPr="7983909F">
        <w:t xml:space="preserve"> en </w:t>
      </w:r>
      <w:hyperlink r:id="rId15">
        <w:r w:rsidRPr="7983909F">
          <w:rPr>
            <w:rStyle w:val="Hyperlink"/>
            <w:rFonts w:ascii="Calibri" w:hAnsi="Calibri" w:cs="Calibri"/>
            <w:sz w:val="22"/>
          </w:rPr>
          <w:t>de Weten Wat Werkt-methode van TZA</w:t>
        </w:r>
      </w:hyperlink>
      <w:r w:rsidRPr="7983909F">
        <w:t xml:space="preserve"> en Vitaal Twente. Elk van deze methodieken biedt voor- en nadelen en raakt een of meerdere domeinen. Binnen de </w:t>
      </w:r>
      <w:proofErr w:type="spellStart"/>
      <w:r w:rsidRPr="7983909F">
        <w:t>InnovatieRoute</w:t>
      </w:r>
      <w:proofErr w:type="spellEnd"/>
      <w:r w:rsidRPr="7983909F">
        <w:t xml:space="preserve"> heeft de Health Technology Assessment de voorkeur omdat hiermee al de nodige ervaring is opgedaan binnen de gehandicaptensector.</w:t>
      </w:r>
      <w:r>
        <w:br/>
      </w:r>
    </w:p>
    <w:p w14:paraId="1D55E9CD" w14:textId="77777777" w:rsidR="00AA2FB8" w:rsidRDefault="00AA2FB8" w:rsidP="00145189">
      <w:pPr>
        <w:pStyle w:val="Kop2"/>
      </w:pPr>
      <w:r w:rsidRPr="7983909F">
        <w:t>Verschillende fasen</w:t>
      </w:r>
    </w:p>
    <w:p w14:paraId="03F72A81" w14:textId="77777777" w:rsidR="00AA2FB8" w:rsidRDefault="00AA2FB8" w:rsidP="00AA2FB8">
      <w:r w:rsidRPr="7983909F">
        <w:t>Bij het waarderen en evalueren van een zorgtechnologie is het belangrijk om de method</w:t>
      </w:r>
      <w:r>
        <w:t>iek</w:t>
      </w:r>
      <w:r w:rsidRPr="7983909F">
        <w:t xml:space="preserve"> te kiezen die past bij de specifieke behoeften van je zorgorganisatie. De method</w:t>
      </w:r>
      <w:r>
        <w:t>iek</w:t>
      </w:r>
      <w:r w:rsidRPr="7983909F">
        <w:t>en maken grofweg onderscheid tussen de verkennende fase, “</w:t>
      </w:r>
      <w:r w:rsidRPr="7983909F">
        <w:rPr>
          <w:i/>
          <w:iCs/>
        </w:rPr>
        <w:t>wat zou een zorgtechnologie kunnen opleveren</w:t>
      </w:r>
      <w:r w:rsidRPr="7983909F">
        <w:t>?”, en de toetsende fase, “</w:t>
      </w:r>
      <w:r w:rsidRPr="7983909F">
        <w:rPr>
          <w:i/>
          <w:iCs/>
        </w:rPr>
        <w:t>wat levert de zorgtechnologie in de praktijk op</w:t>
      </w:r>
      <w:r w:rsidRPr="7983909F">
        <w:t xml:space="preserve">?”. Sommige methodieken bevatten beide fasen. Zo is er de mini-HTA voor de verkennende fase en de HTA voor de toetsende fase. Binnen de Waardewaaier is de eerste fase van de methodiek verkennend en de tweede fase op de toetsend. Afhankelijk van de fase waarin jouw organisatie met de implementatie van zorgtechnologie zit bepaal je wat passend is.  </w:t>
      </w:r>
    </w:p>
    <w:p w14:paraId="745D20AC" w14:textId="77777777" w:rsidR="00454945" w:rsidRDefault="00454945" w:rsidP="00AA2FB8"/>
    <w:p w14:paraId="3C263FDA" w14:textId="77777777" w:rsidR="00AA2FB8" w:rsidRDefault="00AA2FB8" w:rsidP="00454945">
      <w:pPr>
        <w:pStyle w:val="Kop2"/>
      </w:pPr>
      <w:r w:rsidRPr="7983909F">
        <w:t>Elementen in de methodieken</w:t>
      </w:r>
    </w:p>
    <w:p w14:paraId="302E3D7E" w14:textId="180F7B11" w:rsidR="00AA2FB8" w:rsidRDefault="00AA2FB8" w:rsidP="00AA2FB8">
      <w:r w:rsidRPr="7983909F">
        <w:t xml:space="preserve">De methodieken bevatten gemeenschappelijke elementen die een belangrijk onderdeel zijn van </w:t>
      </w:r>
      <w:proofErr w:type="spellStart"/>
      <w:r w:rsidRPr="7983909F">
        <w:t>waardebepalend</w:t>
      </w:r>
      <w:proofErr w:type="spellEnd"/>
      <w:r w:rsidRPr="7983909F">
        <w:t xml:space="preserve"> onderzoek. Ze kiezen allemaal voor een brede benadering van waarde; een mix van financiële, sociale en gezondheidsuitkomsten en bij sommige methodieken ook duurzaamheid. Er is aandacht voor de vragen “</w:t>
      </w:r>
      <w:r w:rsidRPr="7983909F">
        <w:rPr>
          <w:i/>
          <w:iCs/>
        </w:rPr>
        <w:t>wat vinden we gezamenlijk belangrijk om te meten?</w:t>
      </w:r>
      <w:r w:rsidRPr="7983909F">
        <w:t>”, “</w:t>
      </w:r>
      <w:r w:rsidRPr="7983909F">
        <w:rPr>
          <w:i/>
          <w:iCs/>
        </w:rPr>
        <w:t>als we niet alles kunnen meten wat is dan het belangrijkst?</w:t>
      </w:r>
      <w:r w:rsidRPr="7983909F">
        <w:t>” en “</w:t>
      </w:r>
      <w:r w:rsidRPr="7983909F">
        <w:rPr>
          <w:i/>
          <w:iCs/>
        </w:rPr>
        <w:t>wat vinden wij voldoende bewijs?</w:t>
      </w:r>
      <w:r w:rsidRPr="7983909F">
        <w:t xml:space="preserve">”. </w:t>
      </w:r>
      <w:r w:rsidRPr="7983909F">
        <w:lastRenderedPageBreak/>
        <w:t>Ook brengen ze allemaal verandering in kaart; “</w:t>
      </w:r>
      <w:r w:rsidRPr="7983909F">
        <w:rPr>
          <w:i/>
          <w:iCs/>
        </w:rPr>
        <w:t>wat verandert er door de inzet van zorgtechnologie?</w:t>
      </w:r>
      <w:r w:rsidRPr="7983909F">
        <w:t>” en “</w:t>
      </w:r>
      <w:r w:rsidRPr="7983909F">
        <w:rPr>
          <w:i/>
          <w:iCs/>
        </w:rPr>
        <w:t>hoe meten we deze verandering?</w:t>
      </w:r>
      <w:r w:rsidRPr="7983909F">
        <w:t>”. Tenslotte kijken de methodieken naar draagvlak en acceptatie, blijvende verandering in de praktijk en het op verschillende manieren verzamelen van informatie over effecten en impact in de praktijk.</w:t>
      </w:r>
    </w:p>
    <w:p w14:paraId="4D5EA78B" w14:textId="77777777" w:rsidR="00454945" w:rsidRPr="00454945" w:rsidRDefault="00454945" w:rsidP="00AA2FB8"/>
    <w:p w14:paraId="78F9CAE9" w14:textId="46A4A96D" w:rsidR="00AA2FB8" w:rsidRPr="000E1D15" w:rsidRDefault="00FC4A55" w:rsidP="00AA2FB8">
      <w:r>
        <w:rPr>
          <w:rStyle w:val="Kop1Char"/>
        </w:rPr>
        <w:t xml:space="preserve">1. </w:t>
      </w:r>
      <w:r w:rsidR="00AA2FB8" w:rsidRPr="00EE57C1">
        <w:rPr>
          <w:rStyle w:val="Kop1Char"/>
        </w:rPr>
        <w:t>(Mini) Health Technology Assessment (HTA)</w:t>
      </w:r>
      <w:r w:rsidR="00AA2FB8">
        <w:br/>
      </w:r>
      <w:r w:rsidR="00AA2FB8" w:rsidRPr="7983909F">
        <w:t>De (Mini) Health Technology Assessment (HTA) op het Kennisplein Gehandicaptensector is een method</w:t>
      </w:r>
      <w:r w:rsidR="00AA2FB8">
        <w:t>i</w:t>
      </w:r>
      <w:r w:rsidR="00AA2FB8" w:rsidRPr="7983909F">
        <w:t>e</w:t>
      </w:r>
      <w:r w:rsidR="00AA2FB8">
        <w:t>k</w:t>
      </w:r>
      <w:r w:rsidR="00AA2FB8" w:rsidRPr="7983909F">
        <w:t xml:space="preserve"> om de impact van (zorg)technologieën te evalueren. Hiermee is ervaring opgedaan in de gehandicaptensector. Het beoordeelt aspecten zoals kosteneffectiviteit, kwaliteit van zorg en cliënttevredenheid. De mini-HTA kan gebruikt worden in voor de verkennende fase, ‘wat zou een zorgtechnologie kunnen opleveren?’ en de HTA is voor de toetsende fase, ‘wat levert een zorgtechnologie in de praktijk op?’. De manier waarop de (mini)HTA is vormgegeven in de </w:t>
      </w:r>
      <w:proofErr w:type="spellStart"/>
      <w:r w:rsidR="00AA2FB8" w:rsidRPr="7983909F">
        <w:t>InnovatieRoute</w:t>
      </w:r>
      <w:proofErr w:type="spellEnd"/>
      <w:r w:rsidR="00AA2FB8" w:rsidRPr="7983909F">
        <w:t xml:space="preserve"> omvat beide.</w:t>
      </w:r>
    </w:p>
    <w:p w14:paraId="2E6759B1" w14:textId="77777777" w:rsidR="00454945" w:rsidRDefault="00454945" w:rsidP="00AA2FB8"/>
    <w:p w14:paraId="21EA3911" w14:textId="434E5032" w:rsidR="00AA2FB8" w:rsidRPr="000E1D15" w:rsidRDefault="00AA2FB8" w:rsidP="00AA2FB8">
      <w:r w:rsidRPr="7983909F">
        <w:t>Voor- en nadelen van het gebruik van de Health Technology Assessment:</w:t>
      </w:r>
    </w:p>
    <w:tbl>
      <w:tblPr>
        <w:tblStyle w:val="Tabelraster"/>
        <w:tblW w:w="0" w:type="auto"/>
        <w:tblLook w:val="04A0" w:firstRow="1" w:lastRow="0" w:firstColumn="1" w:lastColumn="0" w:noHBand="0" w:noVBand="1"/>
      </w:tblPr>
      <w:tblGrid>
        <w:gridCol w:w="4530"/>
        <w:gridCol w:w="4530"/>
      </w:tblGrid>
      <w:tr w:rsidR="00AA2FB8" w:rsidRPr="000E1D15" w14:paraId="1638F834" w14:textId="77777777" w:rsidTr="00454945">
        <w:tc>
          <w:tcPr>
            <w:tcW w:w="4530" w:type="dxa"/>
          </w:tcPr>
          <w:p w14:paraId="319C14B9" w14:textId="77777777" w:rsidR="00AA2FB8" w:rsidRPr="00454945" w:rsidRDefault="00AA2FB8" w:rsidP="00AA2FB8">
            <w:pPr>
              <w:rPr>
                <w:b/>
                <w:bCs/>
                <w:color w:val="ED027E" w:themeColor="accent1"/>
                <w:szCs w:val="20"/>
              </w:rPr>
            </w:pPr>
            <w:r w:rsidRPr="00454945">
              <w:rPr>
                <w:b/>
                <w:bCs/>
                <w:color w:val="ED027E" w:themeColor="accent1"/>
                <w:szCs w:val="20"/>
              </w:rPr>
              <w:t>Voordelen</w:t>
            </w:r>
          </w:p>
        </w:tc>
        <w:tc>
          <w:tcPr>
            <w:tcW w:w="4530" w:type="dxa"/>
          </w:tcPr>
          <w:p w14:paraId="4BD3C4FD" w14:textId="77777777" w:rsidR="00AA2FB8" w:rsidRPr="00454945" w:rsidRDefault="00AA2FB8" w:rsidP="00AA2FB8">
            <w:pPr>
              <w:rPr>
                <w:b/>
                <w:bCs/>
                <w:color w:val="ED027E" w:themeColor="accent1"/>
                <w:szCs w:val="20"/>
              </w:rPr>
            </w:pPr>
            <w:r w:rsidRPr="00454945">
              <w:rPr>
                <w:b/>
                <w:bCs/>
                <w:color w:val="ED027E" w:themeColor="accent1"/>
                <w:szCs w:val="20"/>
              </w:rPr>
              <w:t>Nadelen</w:t>
            </w:r>
          </w:p>
        </w:tc>
      </w:tr>
      <w:tr w:rsidR="00AA2FB8" w:rsidRPr="000E1D15" w14:paraId="0DE1F392" w14:textId="77777777" w:rsidTr="00454945">
        <w:tc>
          <w:tcPr>
            <w:tcW w:w="4530" w:type="dxa"/>
          </w:tcPr>
          <w:p w14:paraId="229691A6" w14:textId="77777777" w:rsidR="00AA2FB8" w:rsidRPr="00454945" w:rsidRDefault="00AA2FB8" w:rsidP="00AA2FB8">
            <w:pPr>
              <w:rPr>
                <w:szCs w:val="20"/>
              </w:rPr>
            </w:pPr>
            <w:r w:rsidRPr="00454945">
              <w:rPr>
                <w:b/>
                <w:bCs/>
                <w:szCs w:val="20"/>
              </w:rPr>
              <w:t>Generalistische benadering:</w:t>
            </w:r>
            <w:r w:rsidRPr="00454945">
              <w:rPr>
                <w:szCs w:val="20"/>
              </w:rPr>
              <w:t xml:space="preserve"> HTA kijkt naar meerdere dimensies, zoals financiële, sociale en gezondheidsuitkomsten.</w:t>
            </w:r>
          </w:p>
        </w:tc>
        <w:tc>
          <w:tcPr>
            <w:tcW w:w="4530" w:type="dxa"/>
          </w:tcPr>
          <w:p w14:paraId="055E4DF9" w14:textId="77777777" w:rsidR="00AA2FB8" w:rsidRPr="00454945" w:rsidRDefault="00AA2FB8" w:rsidP="00AA2FB8">
            <w:pPr>
              <w:rPr>
                <w:szCs w:val="20"/>
              </w:rPr>
            </w:pPr>
            <w:r w:rsidRPr="00454945">
              <w:rPr>
                <w:b/>
                <w:bCs/>
                <w:szCs w:val="20"/>
              </w:rPr>
              <w:t>Complexiteit:</w:t>
            </w:r>
            <w:r w:rsidRPr="00454945">
              <w:rPr>
                <w:szCs w:val="20"/>
              </w:rPr>
              <w:t xml:space="preserve"> Vereist uitgebreide gegevensverzameling en analyse, wat tijdrovend kan zijn. Het kwantificeren van data vereist kennis.</w:t>
            </w:r>
          </w:p>
        </w:tc>
      </w:tr>
      <w:tr w:rsidR="00AA2FB8" w:rsidRPr="000E1D15" w14:paraId="39EBBAEC" w14:textId="77777777" w:rsidTr="00454945">
        <w:tc>
          <w:tcPr>
            <w:tcW w:w="4530" w:type="dxa"/>
          </w:tcPr>
          <w:p w14:paraId="3049DEAA" w14:textId="77777777" w:rsidR="00AA2FB8" w:rsidRPr="00454945" w:rsidRDefault="00AA2FB8" w:rsidP="00AA2FB8">
            <w:pPr>
              <w:rPr>
                <w:szCs w:val="20"/>
              </w:rPr>
            </w:pPr>
            <w:r w:rsidRPr="00454945">
              <w:rPr>
                <w:b/>
                <w:bCs/>
                <w:szCs w:val="20"/>
              </w:rPr>
              <w:t>Bewezen evaluatiemethode:</w:t>
            </w:r>
            <w:r w:rsidRPr="00454945">
              <w:rPr>
                <w:szCs w:val="20"/>
              </w:rPr>
              <w:t xml:space="preserve"> Breed toegepast in diverse zorgsectoren, inclusief gehandicaptenzorg.</w:t>
            </w:r>
          </w:p>
        </w:tc>
        <w:tc>
          <w:tcPr>
            <w:tcW w:w="4530" w:type="dxa"/>
          </w:tcPr>
          <w:p w14:paraId="1CEFE332" w14:textId="77777777" w:rsidR="00AA2FB8" w:rsidRPr="00454945" w:rsidRDefault="00AA2FB8" w:rsidP="00AA2FB8">
            <w:pPr>
              <w:rPr>
                <w:szCs w:val="20"/>
              </w:rPr>
            </w:pPr>
            <w:r w:rsidRPr="00454945">
              <w:rPr>
                <w:b/>
                <w:bCs/>
                <w:szCs w:val="20"/>
              </w:rPr>
              <w:t>Tijdsintensief:</w:t>
            </w:r>
            <w:r w:rsidRPr="00454945">
              <w:rPr>
                <w:szCs w:val="20"/>
              </w:rPr>
              <w:t xml:space="preserve"> Het vereist tijd om de HTA uit te voeren. </w:t>
            </w:r>
          </w:p>
        </w:tc>
      </w:tr>
      <w:tr w:rsidR="00AA2FB8" w:rsidRPr="000E1D15" w14:paraId="67701847" w14:textId="77777777" w:rsidTr="00454945">
        <w:tc>
          <w:tcPr>
            <w:tcW w:w="4530" w:type="dxa"/>
          </w:tcPr>
          <w:p w14:paraId="236ECDB2" w14:textId="77777777" w:rsidR="00AA2FB8" w:rsidRPr="00454945" w:rsidRDefault="00AA2FB8" w:rsidP="00AA2FB8">
            <w:pPr>
              <w:rPr>
                <w:szCs w:val="20"/>
              </w:rPr>
            </w:pPr>
            <w:r w:rsidRPr="00454945">
              <w:rPr>
                <w:b/>
                <w:bCs/>
                <w:szCs w:val="20"/>
              </w:rPr>
              <w:t>Aanpasbaar voor verschillende (zorg)technologieën:</w:t>
            </w:r>
            <w:r w:rsidRPr="00454945">
              <w:rPr>
                <w:szCs w:val="20"/>
              </w:rPr>
              <w:t xml:space="preserve"> HTA is flexibel en kan worden aangepast voor diverse soorten (zorg)technologieën.</w:t>
            </w:r>
          </w:p>
        </w:tc>
        <w:tc>
          <w:tcPr>
            <w:tcW w:w="4530" w:type="dxa"/>
          </w:tcPr>
          <w:p w14:paraId="6CD5F6F5" w14:textId="77777777" w:rsidR="00AA2FB8" w:rsidRPr="00454945" w:rsidRDefault="00AA2FB8" w:rsidP="00AA2FB8">
            <w:pPr>
              <w:rPr>
                <w:szCs w:val="20"/>
              </w:rPr>
            </w:pPr>
          </w:p>
        </w:tc>
      </w:tr>
    </w:tbl>
    <w:p w14:paraId="7FD2AD1A" w14:textId="77777777" w:rsidR="00454945" w:rsidRDefault="00454945" w:rsidP="00AA2FB8"/>
    <w:p w14:paraId="52603E9F" w14:textId="62D77C91" w:rsidR="00AA2FB8" w:rsidRPr="000E1D15" w:rsidRDefault="00AA2FB8" w:rsidP="00AA2FB8">
      <w:r w:rsidRPr="7983909F">
        <w:t xml:space="preserve">De HTA kun je nog uitgebreider toepassen en biedt een diepgaande evaluatie, maar vereist tijd en middelen om effectief toe te passen. Voorbeelden van HTA die eerder zijn gemaakt in de gehandicaptensector vind je onder verdieping in de methodepagina. </w:t>
      </w:r>
      <w:r>
        <w:br/>
      </w:r>
    </w:p>
    <w:p w14:paraId="514F4A01" w14:textId="77777777" w:rsidR="00AA2FB8" w:rsidRPr="00B42807" w:rsidRDefault="00AA2FB8" w:rsidP="00AA2FB8">
      <w:pPr>
        <w:rPr>
          <w:b/>
          <w:bCs/>
          <w:szCs w:val="20"/>
        </w:rPr>
      </w:pPr>
      <w:r w:rsidRPr="00B42807">
        <w:rPr>
          <w:b/>
          <w:bCs/>
          <w:szCs w:val="20"/>
        </w:rPr>
        <w:t xml:space="preserve">Domeinen van de (mini)HTA uit de </w:t>
      </w:r>
      <w:proofErr w:type="spellStart"/>
      <w:r w:rsidRPr="00B42807">
        <w:rPr>
          <w:b/>
          <w:bCs/>
          <w:szCs w:val="20"/>
        </w:rPr>
        <w:t>InnovatieRoute</w:t>
      </w:r>
      <w:proofErr w:type="spellEnd"/>
      <w:r w:rsidRPr="00B42807">
        <w:rPr>
          <w:b/>
          <w:bCs/>
          <w:szCs w:val="20"/>
        </w:rPr>
        <w:t>:</w:t>
      </w:r>
    </w:p>
    <w:p w14:paraId="69D6E5F2" w14:textId="77777777" w:rsidR="00AA2FB8" w:rsidRPr="007F2DC1" w:rsidRDefault="00AA2FB8" w:rsidP="00454945">
      <w:pPr>
        <w:pStyle w:val="Lijstalinea"/>
        <w:rPr>
          <w:rFonts w:ascii="Open Sans" w:hAnsi="Open Sans"/>
          <w:szCs w:val="20"/>
        </w:rPr>
      </w:pPr>
      <w:r w:rsidRPr="007F2DC1">
        <w:rPr>
          <w:rStyle w:val="Zwaar"/>
          <w:rFonts w:ascii="Open Sans" w:hAnsi="Open Sans"/>
          <w:b w:val="0"/>
          <w:bCs w:val="0"/>
          <w:szCs w:val="20"/>
        </w:rPr>
        <w:t>Verandermanagement,</w:t>
      </w:r>
      <w:r w:rsidRPr="007F2DC1">
        <w:rPr>
          <w:rFonts w:ascii="Open Sans" w:hAnsi="Open Sans"/>
          <w:szCs w:val="20"/>
        </w:rPr>
        <w:t xml:space="preserve"> omdat duidelijk wordt welke effecten een technologie heeft op processen en medewerkers. </w:t>
      </w:r>
    </w:p>
    <w:p w14:paraId="74407018" w14:textId="468F1092" w:rsidR="00AA2FB8" w:rsidRPr="007F2DC1" w:rsidRDefault="00AA2FB8" w:rsidP="00454945">
      <w:pPr>
        <w:pStyle w:val="Lijstalinea"/>
        <w:rPr>
          <w:rFonts w:ascii="Open Sans" w:hAnsi="Open Sans"/>
          <w:szCs w:val="20"/>
        </w:rPr>
      </w:pPr>
      <w:r w:rsidRPr="007F2DC1">
        <w:rPr>
          <w:rStyle w:val="Zwaar"/>
          <w:rFonts w:ascii="Open Sans" w:hAnsi="Open Sans"/>
          <w:b w:val="0"/>
          <w:bCs w:val="0"/>
          <w:szCs w:val="20"/>
        </w:rPr>
        <w:t>Implementatie</w:t>
      </w:r>
      <w:r w:rsidR="00EE57C1" w:rsidRPr="007F2DC1">
        <w:rPr>
          <w:rStyle w:val="Zwaar"/>
          <w:rFonts w:ascii="Open Sans" w:hAnsi="Open Sans"/>
          <w:b w:val="0"/>
          <w:bCs w:val="0"/>
          <w:szCs w:val="20"/>
        </w:rPr>
        <w:t xml:space="preserve">, </w:t>
      </w:r>
      <w:r w:rsidRPr="007F2DC1">
        <w:rPr>
          <w:rFonts w:ascii="Open Sans" w:hAnsi="Open Sans"/>
          <w:szCs w:val="20"/>
        </w:rPr>
        <w:t>omdat de methodiek concrete aanknopingspunten voor begeleiding van de inzet van technologie.</w:t>
      </w:r>
    </w:p>
    <w:p w14:paraId="67193A3C" w14:textId="77777777" w:rsidR="00AA2FB8" w:rsidRPr="007F2DC1" w:rsidRDefault="00AA2FB8" w:rsidP="00454945">
      <w:pPr>
        <w:pStyle w:val="Lijstalinea"/>
        <w:rPr>
          <w:rFonts w:ascii="Open Sans" w:hAnsi="Open Sans"/>
          <w:szCs w:val="20"/>
        </w:rPr>
      </w:pPr>
      <w:r w:rsidRPr="007F2DC1">
        <w:rPr>
          <w:rStyle w:val="Zwaar"/>
          <w:rFonts w:ascii="Open Sans" w:hAnsi="Open Sans"/>
          <w:b w:val="0"/>
          <w:bCs w:val="0"/>
          <w:szCs w:val="20"/>
        </w:rPr>
        <w:t>Kosteneffectiviteit, door te kijken naar financiële en bedrijfseconomische analyses.</w:t>
      </w:r>
    </w:p>
    <w:p w14:paraId="4DDBF0D4" w14:textId="77777777" w:rsidR="00AA2FB8" w:rsidRPr="007F2DC1" w:rsidRDefault="00AA2FB8" w:rsidP="00454945">
      <w:pPr>
        <w:pStyle w:val="Lijstalinea"/>
        <w:rPr>
          <w:rFonts w:ascii="Open Sans" w:hAnsi="Open Sans"/>
          <w:szCs w:val="20"/>
        </w:rPr>
      </w:pPr>
      <w:r w:rsidRPr="007F2DC1">
        <w:rPr>
          <w:rStyle w:val="Zwaar"/>
          <w:rFonts w:ascii="Open Sans" w:hAnsi="Open Sans"/>
          <w:b w:val="0"/>
          <w:bCs w:val="0"/>
          <w:szCs w:val="20"/>
        </w:rPr>
        <w:t>Kwaliteit van zorg</w:t>
      </w:r>
      <w:r w:rsidRPr="007F2DC1">
        <w:rPr>
          <w:rFonts w:ascii="Open Sans" w:hAnsi="Open Sans"/>
          <w:szCs w:val="20"/>
        </w:rPr>
        <w:t xml:space="preserve"> en de </w:t>
      </w:r>
      <w:r w:rsidRPr="007F2DC1">
        <w:rPr>
          <w:rStyle w:val="Zwaar"/>
          <w:rFonts w:ascii="Open Sans" w:hAnsi="Open Sans"/>
          <w:b w:val="0"/>
          <w:bCs w:val="0"/>
          <w:szCs w:val="20"/>
        </w:rPr>
        <w:t>cliënttevredenheid, omdat deze apart worden beoordeeld</w:t>
      </w:r>
      <w:r w:rsidRPr="007F2DC1">
        <w:rPr>
          <w:rFonts w:ascii="Open Sans" w:hAnsi="Open Sans"/>
          <w:szCs w:val="20"/>
        </w:rPr>
        <w:t xml:space="preserve">. </w:t>
      </w:r>
    </w:p>
    <w:p w14:paraId="09B2D77A" w14:textId="77777777" w:rsidR="00AA2FB8" w:rsidRPr="007F2DC1" w:rsidRDefault="00AA2FB8" w:rsidP="00454945">
      <w:pPr>
        <w:pStyle w:val="Lijstalinea"/>
        <w:rPr>
          <w:rFonts w:ascii="Open Sans" w:hAnsi="Open Sans"/>
          <w:szCs w:val="20"/>
        </w:rPr>
      </w:pPr>
      <w:r w:rsidRPr="007F2DC1">
        <w:rPr>
          <w:rFonts w:ascii="Open Sans" w:hAnsi="Open Sans"/>
          <w:szCs w:val="20"/>
        </w:rPr>
        <w:t>B</w:t>
      </w:r>
      <w:r w:rsidRPr="007F2DC1">
        <w:rPr>
          <w:rStyle w:val="Zwaar"/>
          <w:rFonts w:ascii="Open Sans" w:hAnsi="Open Sans"/>
          <w:b w:val="0"/>
          <w:bCs w:val="0"/>
          <w:szCs w:val="20"/>
        </w:rPr>
        <w:t>eleid en strategie</w:t>
      </w:r>
      <w:r w:rsidRPr="007F2DC1">
        <w:rPr>
          <w:rFonts w:ascii="Open Sans" w:hAnsi="Open Sans"/>
          <w:szCs w:val="20"/>
        </w:rPr>
        <w:t xml:space="preserve">, omdat de uitkomsten richting geven aan grootschalig in gebruik nemen en de bijbehorende investering. </w:t>
      </w:r>
    </w:p>
    <w:p w14:paraId="2D010A5C" w14:textId="77777777" w:rsidR="00AA2FB8" w:rsidRPr="007F2DC1" w:rsidRDefault="00AA2FB8" w:rsidP="00454945">
      <w:pPr>
        <w:pStyle w:val="Lijstalinea"/>
        <w:rPr>
          <w:rFonts w:ascii="Open Sans" w:hAnsi="Open Sans"/>
          <w:szCs w:val="20"/>
        </w:rPr>
      </w:pPr>
      <w:r w:rsidRPr="007F2DC1">
        <w:rPr>
          <w:rFonts w:ascii="Open Sans" w:hAnsi="Open Sans"/>
          <w:szCs w:val="20"/>
        </w:rPr>
        <w:lastRenderedPageBreak/>
        <w:t>O</w:t>
      </w:r>
      <w:r w:rsidRPr="007F2DC1">
        <w:rPr>
          <w:rStyle w:val="Zwaar"/>
          <w:rFonts w:ascii="Open Sans" w:hAnsi="Open Sans"/>
          <w:b w:val="0"/>
          <w:bCs w:val="0"/>
          <w:szCs w:val="20"/>
        </w:rPr>
        <w:t>nderzoek en evaluatie</w:t>
      </w:r>
      <w:r w:rsidRPr="007F2DC1">
        <w:rPr>
          <w:rFonts w:ascii="Open Sans" w:hAnsi="Open Sans"/>
          <w:szCs w:val="20"/>
        </w:rPr>
        <w:t>, door de brede en wetenschappelijke aanpak met gestandaardiseerde dataverzameling en analyse.</w:t>
      </w:r>
    </w:p>
    <w:p w14:paraId="2E8DC3C8" w14:textId="77777777" w:rsidR="007F2DC1" w:rsidRPr="007F2DC1" w:rsidRDefault="007F2DC1" w:rsidP="007F2DC1">
      <w:pPr>
        <w:rPr>
          <w:b/>
          <w:bCs/>
          <w:szCs w:val="20"/>
        </w:rPr>
      </w:pPr>
    </w:p>
    <w:p w14:paraId="1BF73740" w14:textId="77777777" w:rsidR="00AA2FB8" w:rsidRDefault="00AA2FB8" w:rsidP="00B46DF7">
      <w:r w:rsidRPr="7983909F">
        <w:t>Het instrument is oorspronkelijk in 2006 in Denemarken voor de ziekenhuiszorg ontwikkeld (</w:t>
      </w:r>
      <w:proofErr w:type="spellStart"/>
      <w:r w:rsidRPr="7983909F">
        <w:t>Ehlers</w:t>
      </w:r>
      <w:proofErr w:type="spellEnd"/>
      <w:r w:rsidRPr="7983909F">
        <w:t xml:space="preserve"> et al., 2006) en wordt inmiddels ook in andere landen binnen en buiten Europa gebruikt (Yang et al., 2021). Om organisaties binnen de gehandicaptensector te ondersteunen bij het in kaart brengen van de meerwaarde van technologie, is de Mini-HTA vertaald en aangepast voor de gehandicaptenzorg in Nederland (</w:t>
      </w:r>
      <w:proofErr w:type="spellStart"/>
      <w:r w:rsidRPr="7983909F">
        <w:t>Patel</w:t>
      </w:r>
      <w:proofErr w:type="spellEnd"/>
      <w:r w:rsidRPr="7983909F">
        <w:t xml:space="preserve"> et al., 2022). Dit is gedaan in een samenwerking tussen Academy Het Dorp, Vilans en de Universiteit Maastricht.</w:t>
      </w:r>
    </w:p>
    <w:p w14:paraId="760F6531" w14:textId="77777777" w:rsidR="00AA2FB8" w:rsidRPr="000E1D15" w:rsidRDefault="00AA2FB8" w:rsidP="00AA2FB8">
      <w:pPr>
        <w:rPr>
          <w:b/>
          <w:bCs/>
        </w:rPr>
      </w:pPr>
    </w:p>
    <w:p w14:paraId="47AA0BED" w14:textId="7510FBC0" w:rsidR="00AA2FB8" w:rsidRPr="00577A56" w:rsidRDefault="00FC4A55" w:rsidP="00FC4A55">
      <w:r>
        <w:rPr>
          <w:rStyle w:val="Kop1Char"/>
        </w:rPr>
        <w:t xml:space="preserve">2. </w:t>
      </w:r>
      <w:r w:rsidR="00AA2FB8" w:rsidRPr="00B46DF7">
        <w:rPr>
          <w:rStyle w:val="Kop1Char"/>
        </w:rPr>
        <w:t>De Waardewaaier</w:t>
      </w:r>
      <w:r w:rsidR="00AA2FB8">
        <w:br/>
      </w:r>
      <w:r w:rsidR="00AA2FB8" w:rsidRPr="7983909F">
        <w:t>De Waardewaaier van Vilans helpt onderzoekers te bepalen hoe (digitale) interventies bijdragen aan de kwaliteit, toegankelijkheid, betaalbaarheid en duurzaamheid van zorg. De Waardewaaier biedt een gestructureerde en herhalende aanpak om de waarde en impact van interventies inzichtelijk te maken. Hierbij is nadrukkelijk gelijkwaardige aandacht voor verschillende vormen van waarde belangrijk. Dit betekent dat je zowel harde kosten en baten (o.a. geld- en tijdsbesparing) als zachte kosten en baten (o.a. kwaliteit van leven van cliënten en het werkplezier van zorgmedewerkers) meeneemt.</w:t>
      </w:r>
    </w:p>
    <w:p w14:paraId="1C2811DF" w14:textId="77777777" w:rsidR="00FC4A55" w:rsidRDefault="00FC4A55" w:rsidP="00FC4A55"/>
    <w:p w14:paraId="61985824" w14:textId="57B6D577" w:rsidR="00AA2FB8" w:rsidRPr="000E1D15" w:rsidRDefault="00AA2FB8" w:rsidP="00FC4A55">
      <w:r w:rsidRPr="7983909F">
        <w:t>Voor- en nadelen van het gebruik van de Waardewaaier:</w:t>
      </w:r>
    </w:p>
    <w:tbl>
      <w:tblPr>
        <w:tblStyle w:val="Tabelraster"/>
        <w:tblW w:w="0" w:type="auto"/>
        <w:tblLook w:val="04A0" w:firstRow="1" w:lastRow="0" w:firstColumn="1" w:lastColumn="0" w:noHBand="0" w:noVBand="1"/>
      </w:tblPr>
      <w:tblGrid>
        <w:gridCol w:w="4530"/>
        <w:gridCol w:w="4530"/>
      </w:tblGrid>
      <w:tr w:rsidR="00AA2FB8" w:rsidRPr="000E1D15" w14:paraId="4D7E7F4F" w14:textId="77777777" w:rsidTr="00FC3FDC">
        <w:tc>
          <w:tcPr>
            <w:tcW w:w="4531" w:type="dxa"/>
          </w:tcPr>
          <w:p w14:paraId="2C7A3D23" w14:textId="77777777" w:rsidR="00AA2FB8" w:rsidRPr="00FC4A55" w:rsidRDefault="00AA2FB8" w:rsidP="00AA2FB8">
            <w:pPr>
              <w:rPr>
                <w:b/>
                <w:bCs/>
                <w:color w:val="ED027E" w:themeColor="accent1"/>
                <w:szCs w:val="20"/>
              </w:rPr>
            </w:pPr>
            <w:r w:rsidRPr="00FC4A55">
              <w:rPr>
                <w:b/>
                <w:bCs/>
                <w:color w:val="ED027E" w:themeColor="accent1"/>
                <w:szCs w:val="20"/>
              </w:rPr>
              <w:t>Voordelen</w:t>
            </w:r>
          </w:p>
        </w:tc>
        <w:tc>
          <w:tcPr>
            <w:tcW w:w="4531" w:type="dxa"/>
          </w:tcPr>
          <w:p w14:paraId="68883C4F" w14:textId="77777777" w:rsidR="00AA2FB8" w:rsidRPr="00FC4A55" w:rsidRDefault="00AA2FB8" w:rsidP="00AA2FB8">
            <w:pPr>
              <w:rPr>
                <w:b/>
                <w:bCs/>
                <w:color w:val="ED027E" w:themeColor="accent1"/>
                <w:szCs w:val="20"/>
              </w:rPr>
            </w:pPr>
            <w:r w:rsidRPr="00FC4A55">
              <w:rPr>
                <w:b/>
                <w:bCs/>
                <w:color w:val="ED027E" w:themeColor="accent1"/>
                <w:szCs w:val="20"/>
              </w:rPr>
              <w:t>Nadelen</w:t>
            </w:r>
          </w:p>
        </w:tc>
      </w:tr>
      <w:tr w:rsidR="00AA2FB8" w:rsidRPr="000E1D15" w14:paraId="42B711CC" w14:textId="77777777" w:rsidTr="00FC3FDC">
        <w:tc>
          <w:tcPr>
            <w:tcW w:w="4531" w:type="dxa"/>
          </w:tcPr>
          <w:p w14:paraId="08E6E706" w14:textId="77777777" w:rsidR="00AA2FB8" w:rsidRPr="00FC4A55" w:rsidRDefault="00AA2FB8" w:rsidP="00AA2FB8">
            <w:pPr>
              <w:rPr>
                <w:szCs w:val="20"/>
              </w:rPr>
            </w:pPr>
            <w:r w:rsidRPr="00FC4A55">
              <w:rPr>
                <w:b/>
                <w:bCs/>
                <w:szCs w:val="20"/>
              </w:rPr>
              <w:t xml:space="preserve">Inzicht in kosten en baten: </w:t>
            </w:r>
            <w:r w:rsidRPr="00FC4A55">
              <w:rPr>
                <w:szCs w:val="20"/>
              </w:rPr>
              <w:t>De Waardewaaier maakt een gedetailleerde analyse van de harde kosten en baten en zachte kosten en baten van digitale zorg. Hierdoor kunnen zorginstellingen beter afwegen of een digitale zorgoplossing rendabel is en bijdraagt aan kwaliteit van de zorg.</w:t>
            </w:r>
          </w:p>
        </w:tc>
        <w:tc>
          <w:tcPr>
            <w:tcW w:w="4531" w:type="dxa"/>
          </w:tcPr>
          <w:p w14:paraId="1D39852F" w14:textId="77777777" w:rsidR="00AA2FB8" w:rsidRPr="00FC4A55" w:rsidRDefault="00AA2FB8" w:rsidP="00AA2FB8">
            <w:pPr>
              <w:rPr>
                <w:b/>
                <w:bCs/>
                <w:szCs w:val="20"/>
              </w:rPr>
            </w:pPr>
            <w:r w:rsidRPr="00FC4A55">
              <w:rPr>
                <w:b/>
                <w:bCs/>
                <w:szCs w:val="20"/>
              </w:rPr>
              <w:t xml:space="preserve">Complexiteit: </w:t>
            </w:r>
            <w:r w:rsidRPr="00FC4A55">
              <w:rPr>
                <w:szCs w:val="20"/>
              </w:rPr>
              <w:t>Het gebruik van de methode kan complex zijn voor zorgorganisaties zonder veel ervaring met het uitvoeren van onderzoek. Het vereist soms een diepgaande kennis van de specifieke zorgpraktijken en de (zorg)technologieën die worden beoordeeld.</w:t>
            </w:r>
          </w:p>
        </w:tc>
      </w:tr>
      <w:tr w:rsidR="00AA2FB8" w:rsidRPr="000E1D15" w14:paraId="7602F8E1" w14:textId="77777777" w:rsidTr="00FC3FDC">
        <w:tc>
          <w:tcPr>
            <w:tcW w:w="4531" w:type="dxa"/>
          </w:tcPr>
          <w:p w14:paraId="0432A205" w14:textId="77777777" w:rsidR="00AA2FB8" w:rsidRPr="00FC4A55" w:rsidRDefault="00AA2FB8" w:rsidP="00AA2FB8">
            <w:pPr>
              <w:rPr>
                <w:szCs w:val="20"/>
              </w:rPr>
            </w:pPr>
            <w:r w:rsidRPr="00FC4A55">
              <w:rPr>
                <w:b/>
                <w:bCs/>
                <w:szCs w:val="20"/>
              </w:rPr>
              <w:t xml:space="preserve">Gestandaardiseerde methodiek: </w:t>
            </w:r>
            <w:r w:rsidRPr="00FC4A55">
              <w:rPr>
                <w:szCs w:val="20"/>
              </w:rPr>
              <w:t>De methode biedt een gestandaardiseerde aanpak voor het evalueren van de waarde van verschillende toepassingen. Dit maakt vergelijkingen tussen projecten makkelijker.</w:t>
            </w:r>
          </w:p>
        </w:tc>
        <w:tc>
          <w:tcPr>
            <w:tcW w:w="4531" w:type="dxa"/>
          </w:tcPr>
          <w:p w14:paraId="257E444D" w14:textId="77777777" w:rsidR="00AA2FB8" w:rsidRPr="00FC4A55" w:rsidRDefault="00AA2FB8" w:rsidP="00AA2FB8">
            <w:pPr>
              <w:rPr>
                <w:b/>
                <w:bCs/>
                <w:szCs w:val="20"/>
              </w:rPr>
            </w:pPr>
            <w:r w:rsidRPr="00FC4A55">
              <w:rPr>
                <w:b/>
                <w:bCs/>
                <w:szCs w:val="20"/>
              </w:rPr>
              <w:t xml:space="preserve">Tijdsintensief: </w:t>
            </w:r>
            <w:r w:rsidRPr="00FC4A55">
              <w:rPr>
                <w:szCs w:val="20"/>
              </w:rPr>
              <w:t>Het invullen van de Waardewaaier en het doorlopen van het volledige proces kan tijdrovend zijn.</w:t>
            </w:r>
          </w:p>
          <w:p w14:paraId="780F176F" w14:textId="77777777" w:rsidR="00AA2FB8" w:rsidRPr="00FC4A55" w:rsidRDefault="00AA2FB8" w:rsidP="00AA2FB8">
            <w:pPr>
              <w:rPr>
                <w:szCs w:val="20"/>
              </w:rPr>
            </w:pPr>
          </w:p>
        </w:tc>
      </w:tr>
      <w:tr w:rsidR="00AA2FB8" w:rsidRPr="000E1D15" w14:paraId="66608480" w14:textId="77777777" w:rsidTr="00FC3FDC">
        <w:tc>
          <w:tcPr>
            <w:tcW w:w="4531" w:type="dxa"/>
          </w:tcPr>
          <w:p w14:paraId="6B12BDCE" w14:textId="77777777" w:rsidR="00AA2FB8" w:rsidRPr="00FC4A55" w:rsidRDefault="00AA2FB8" w:rsidP="00AA2FB8">
            <w:pPr>
              <w:rPr>
                <w:szCs w:val="20"/>
              </w:rPr>
            </w:pPr>
            <w:r w:rsidRPr="00FC4A55">
              <w:rPr>
                <w:b/>
                <w:bCs/>
                <w:szCs w:val="20"/>
              </w:rPr>
              <w:t xml:space="preserve">Brede inzetbaarheid: </w:t>
            </w:r>
            <w:r w:rsidRPr="00FC4A55">
              <w:rPr>
                <w:szCs w:val="20"/>
              </w:rPr>
              <w:t>De methode is toepasbaar op diverse vormen van digitale zorg, zoals eHealth-toepassingen, elektronische cliëntendossiers en andere (zorg)technologieën.</w:t>
            </w:r>
          </w:p>
        </w:tc>
        <w:tc>
          <w:tcPr>
            <w:tcW w:w="4531" w:type="dxa"/>
          </w:tcPr>
          <w:p w14:paraId="49088198" w14:textId="77777777" w:rsidR="00AA2FB8" w:rsidRPr="00FC4A55" w:rsidRDefault="00AA2FB8" w:rsidP="00AA2FB8">
            <w:pPr>
              <w:rPr>
                <w:b/>
                <w:bCs/>
                <w:szCs w:val="20"/>
              </w:rPr>
            </w:pPr>
            <w:r w:rsidRPr="00FC4A55">
              <w:rPr>
                <w:b/>
                <w:bCs/>
                <w:szCs w:val="20"/>
              </w:rPr>
              <w:t xml:space="preserve">Afhankelijk van beschikbare data: </w:t>
            </w:r>
            <w:r w:rsidRPr="00FC4A55">
              <w:rPr>
                <w:szCs w:val="20"/>
              </w:rPr>
              <w:t>De nauwkeurigheid van de evaluatie hangt sterk af van de beschikbaarheid van betrouwbare data. Als organisaties niet beschikken over voldoende gegevens, kunnen de resultaten minder representatief zijn.</w:t>
            </w:r>
          </w:p>
        </w:tc>
      </w:tr>
      <w:tr w:rsidR="00AA2FB8" w:rsidRPr="000E1D15" w14:paraId="6E8B5B54" w14:textId="77777777" w:rsidTr="00FC3FDC">
        <w:tc>
          <w:tcPr>
            <w:tcW w:w="4531" w:type="dxa"/>
          </w:tcPr>
          <w:p w14:paraId="1FC80C00" w14:textId="77777777" w:rsidR="00AA2FB8" w:rsidRPr="00FC4A55" w:rsidRDefault="00AA2FB8" w:rsidP="00AA2FB8">
            <w:pPr>
              <w:rPr>
                <w:b/>
                <w:bCs/>
                <w:szCs w:val="20"/>
              </w:rPr>
            </w:pPr>
            <w:r w:rsidRPr="00FC4A55">
              <w:rPr>
                <w:b/>
                <w:bCs/>
                <w:szCs w:val="20"/>
              </w:rPr>
              <w:t xml:space="preserve">Focus op kwaliteit van zorg: </w:t>
            </w:r>
            <w:r w:rsidRPr="00FC4A55">
              <w:rPr>
                <w:szCs w:val="20"/>
              </w:rPr>
              <w:t>Naast financiële overwegingen houdt de methode ook rekening met de verbetering van de kwaliteit van zorg, zoals betere cliëntuitkomsten en meer efficiëntie.</w:t>
            </w:r>
          </w:p>
        </w:tc>
        <w:tc>
          <w:tcPr>
            <w:tcW w:w="4531" w:type="dxa"/>
          </w:tcPr>
          <w:p w14:paraId="58812C3F" w14:textId="77777777" w:rsidR="00AA2FB8" w:rsidRPr="00FC4A55" w:rsidRDefault="00AA2FB8" w:rsidP="00AA2FB8">
            <w:pPr>
              <w:rPr>
                <w:b/>
                <w:bCs/>
                <w:szCs w:val="20"/>
              </w:rPr>
            </w:pPr>
            <w:r w:rsidRPr="00FC4A55">
              <w:rPr>
                <w:b/>
                <w:bCs/>
                <w:szCs w:val="20"/>
              </w:rPr>
              <w:t xml:space="preserve">Subjectieve interpretatie: </w:t>
            </w:r>
            <w:r w:rsidRPr="00FC4A55">
              <w:rPr>
                <w:szCs w:val="20"/>
              </w:rPr>
              <w:t>Hoewel de Waardewaaier een gestructureerd proces biedt, blijft er enige ruimte voor subjectieve interpretatie van de resultaten. Verschillende belanghebbenden kunnen verschillende conclusies trekken op basis van dezelfde gegevens. Mede afhankelijk van het belang dat een organisatie hecht aan een bepaalde waarde.</w:t>
            </w:r>
          </w:p>
        </w:tc>
      </w:tr>
    </w:tbl>
    <w:p w14:paraId="3B5E1CC7" w14:textId="77777777" w:rsidR="00B42807" w:rsidRDefault="00B42807" w:rsidP="00AA2FB8"/>
    <w:p w14:paraId="5D419CE6" w14:textId="77777777" w:rsidR="00B42807" w:rsidRDefault="00AA2FB8" w:rsidP="00AA2FB8">
      <w:r w:rsidRPr="00FC4A55">
        <w:t>De Waardewaaier is een krachtig hulpmiddel voor het evalueren van de waarde van digitale zorginnovaties en kan helpen bij het nemen van gefundeerde beslissingen over (zorg)technologieën. Echter, het succes ervan hangt af van de juiste toepassing, de beschikbaarheid van data, en de specifieke zorgcontext waarin het wordt gebruikt.</w:t>
      </w:r>
    </w:p>
    <w:p w14:paraId="10A83ED8" w14:textId="77777777" w:rsidR="00B42807" w:rsidRDefault="00B42807" w:rsidP="00AA2FB8"/>
    <w:p w14:paraId="733B9BAD" w14:textId="392D0F14" w:rsidR="00AA2FB8" w:rsidRPr="000E1D15" w:rsidRDefault="00AA2FB8" w:rsidP="00AA2FB8">
      <w:r w:rsidRPr="00FC4A55">
        <w:rPr>
          <w:b/>
          <w:bCs/>
        </w:rPr>
        <w:t>Domeinen van de Waardewaaier van Vilans:</w:t>
      </w:r>
    </w:p>
    <w:p w14:paraId="50D026EB" w14:textId="77777777" w:rsidR="00AA2FB8" w:rsidRPr="00FC4A55" w:rsidRDefault="00AA2FB8" w:rsidP="00FC4A55">
      <w:pPr>
        <w:pStyle w:val="Lijstalinea"/>
        <w:rPr>
          <w:rFonts w:asciiTheme="minorHAnsi" w:hAnsiTheme="minorHAnsi" w:cstheme="minorHAnsi"/>
          <w:szCs w:val="20"/>
        </w:rPr>
      </w:pPr>
      <w:r w:rsidRPr="00FC4A55">
        <w:rPr>
          <w:rStyle w:val="Zwaar"/>
          <w:rFonts w:asciiTheme="minorHAnsi" w:hAnsiTheme="minorHAnsi" w:cstheme="minorHAnsi"/>
          <w:b w:val="0"/>
          <w:bCs w:val="0"/>
          <w:szCs w:val="20"/>
        </w:rPr>
        <w:t>Financiële en bedrijfseconomische analyses</w:t>
      </w:r>
      <w:r w:rsidRPr="00FC4A55">
        <w:rPr>
          <w:rFonts w:asciiTheme="minorHAnsi" w:hAnsiTheme="minorHAnsi" w:cstheme="minorHAnsi"/>
          <w:szCs w:val="20"/>
        </w:rPr>
        <w:t xml:space="preserve">, door kosten en baten van digitale zorgtoepassingen helder in kaart te brengen. </w:t>
      </w:r>
    </w:p>
    <w:p w14:paraId="5C71F4F0" w14:textId="77777777" w:rsidR="00AA2FB8" w:rsidRPr="00FC4A55" w:rsidRDefault="00AA2FB8" w:rsidP="00FC4A55">
      <w:pPr>
        <w:pStyle w:val="Lijstalinea"/>
        <w:rPr>
          <w:rFonts w:asciiTheme="minorHAnsi" w:hAnsiTheme="minorHAnsi" w:cstheme="minorHAnsi"/>
          <w:szCs w:val="20"/>
        </w:rPr>
      </w:pPr>
      <w:r w:rsidRPr="00FC4A55">
        <w:rPr>
          <w:rFonts w:asciiTheme="minorHAnsi" w:hAnsiTheme="minorHAnsi" w:cstheme="minorHAnsi"/>
          <w:szCs w:val="20"/>
        </w:rPr>
        <w:t>K</w:t>
      </w:r>
      <w:r w:rsidRPr="00FC4A55">
        <w:rPr>
          <w:rStyle w:val="Zwaar"/>
          <w:rFonts w:asciiTheme="minorHAnsi" w:hAnsiTheme="minorHAnsi" w:cstheme="minorHAnsi"/>
          <w:b w:val="0"/>
          <w:bCs w:val="0"/>
          <w:szCs w:val="20"/>
        </w:rPr>
        <w:t>waliteit van zorg</w:t>
      </w:r>
      <w:r w:rsidRPr="00FC4A55">
        <w:rPr>
          <w:rFonts w:asciiTheme="minorHAnsi" w:hAnsiTheme="minorHAnsi" w:cstheme="minorHAnsi"/>
          <w:szCs w:val="20"/>
        </w:rPr>
        <w:t xml:space="preserve">, door te kijken naar cliëntuitkomsten en efficiëntie. </w:t>
      </w:r>
    </w:p>
    <w:p w14:paraId="1ACE86CA" w14:textId="77777777" w:rsidR="00AA2FB8" w:rsidRPr="00FC4A55" w:rsidRDefault="00AA2FB8" w:rsidP="00FC4A55">
      <w:pPr>
        <w:pStyle w:val="Lijstalinea"/>
        <w:rPr>
          <w:rFonts w:asciiTheme="minorHAnsi" w:hAnsiTheme="minorHAnsi" w:cstheme="minorHAnsi"/>
          <w:szCs w:val="20"/>
        </w:rPr>
      </w:pPr>
      <w:r w:rsidRPr="00FC4A55">
        <w:rPr>
          <w:rFonts w:asciiTheme="minorHAnsi" w:hAnsiTheme="minorHAnsi" w:cstheme="minorHAnsi"/>
          <w:szCs w:val="20"/>
        </w:rPr>
        <w:t>B</w:t>
      </w:r>
      <w:r w:rsidRPr="00FC4A55">
        <w:rPr>
          <w:rStyle w:val="Zwaar"/>
          <w:rFonts w:asciiTheme="minorHAnsi" w:hAnsiTheme="minorHAnsi" w:cstheme="minorHAnsi"/>
          <w:b w:val="0"/>
          <w:bCs w:val="0"/>
          <w:szCs w:val="20"/>
        </w:rPr>
        <w:t>eleid en strategie</w:t>
      </w:r>
      <w:r w:rsidRPr="00FC4A55">
        <w:rPr>
          <w:rFonts w:asciiTheme="minorHAnsi" w:hAnsiTheme="minorHAnsi" w:cstheme="minorHAnsi"/>
          <w:szCs w:val="20"/>
        </w:rPr>
        <w:t xml:space="preserve">, doordat ze projectleiders en bestuurders helpen gefundeerde keuzes te maken. </w:t>
      </w:r>
    </w:p>
    <w:p w14:paraId="0015A092" w14:textId="77777777" w:rsidR="00AA2FB8" w:rsidRPr="00FC4A55" w:rsidRDefault="00AA2FB8" w:rsidP="00FC4A55">
      <w:pPr>
        <w:pStyle w:val="Lijstalinea"/>
        <w:rPr>
          <w:rFonts w:asciiTheme="minorHAnsi" w:hAnsiTheme="minorHAnsi" w:cstheme="minorHAnsi"/>
          <w:szCs w:val="20"/>
        </w:rPr>
      </w:pPr>
      <w:r w:rsidRPr="00FC4A55">
        <w:rPr>
          <w:rStyle w:val="Zwaar"/>
          <w:rFonts w:asciiTheme="minorHAnsi" w:hAnsiTheme="minorHAnsi" w:cstheme="minorHAnsi"/>
          <w:b w:val="0"/>
          <w:bCs w:val="0"/>
          <w:szCs w:val="20"/>
        </w:rPr>
        <w:t>Verandermanagement en draagvlak, o</w:t>
      </w:r>
      <w:r w:rsidRPr="00FC4A55">
        <w:rPr>
          <w:rFonts w:asciiTheme="minorHAnsi" w:hAnsiTheme="minorHAnsi" w:cstheme="minorHAnsi"/>
          <w:szCs w:val="20"/>
        </w:rPr>
        <w:t xml:space="preserve">mdat de Waardewaaier met verschillende betrokkenen wordt ingevuld en expliciete aandacht heeft voor veranderingen in werkprocessen. </w:t>
      </w:r>
    </w:p>
    <w:p w14:paraId="58BDA275" w14:textId="77777777" w:rsidR="00AA2FB8" w:rsidRPr="00FC4A55" w:rsidRDefault="00AA2FB8" w:rsidP="00FC4A55">
      <w:pPr>
        <w:pStyle w:val="Lijstalinea"/>
        <w:rPr>
          <w:rFonts w:asciiTheme="minorHAnsi" w:hAnsiTheme="minorHAnsi" w:cstheme="minorHAnsi"/>
          <w:szCs w:val="20"/>
        </w:rPr>
      </w:pPr>
      <w:r w:rsidRPr="00FC4A55">
        <w:rPr>
          <w:rStyle w:val="Zwaar"/>
          <w:rFonts w:asciiTheme="minorHAnsi" w:hAnsiTheme="minorHAnsi" w:cstheme="minorHAnsi"/>
          <w:b w:val="0"/>
          <w:bCs w:val="0"/>
          <w:szCs w:val="20"/>
        </w:rPr>
        <w:t xml:space="preserve">Onderzoek en evaluatie, </w:t>
      </w:r>
      <w:r w:rsidRPr="00FC4A55">
        <w:rPr>
          <w:rFonts w:asciiTheme="minorHAnsi" w:hAnsiTheme="minorHAnsi" w:cstheme="minorHAnsi"/>
          <w:szCs w:val="20"/>
        </w:rPr>
        <w:t>doordat resultaten van de gestructureerde en gestandaardiseerde aanpak tussen projecten goed te vergelijken zijn.</w:t>
      </w:r>
    </w:p>
    <w:p w14:paraId="7E0E3CCA" w14:textId="77777777" w:rsidR="00AA2FB8" w:rsidRPr="000E1D15" w:rsidRDefault="00AA2FB8" w:rsidP="00AA2FB8">
      <w:pPr>
        <w:rPr>
          <w:b/>
          <w:bCs/>
        </w:rPr>
      </w:pPr>
    </w:p>
    <w:p w14:paraId="033F1A81" w14:textId="3C89A8E7" w:rsidR="00AA2FB8" w:rsidRPr="006422C8" w:rsidRDefault="007E3DB3" w:rsidP="007E3DB3">
      <w:pPr>
        <w:pStyle w:val="Kop1"/>
      </w:pPr>
      <w:r>
        <w:t xml:space="preserve">3. </w:t>
      </w:r>
      <w:r w:rsidR="00AA2FB8" w:rsidRPr="5BC4996F">
        <w:t xml:space="preserve">Waardebepaling in de </w:t>
      </w:r>
      <w:r w:rsidR="00AA2FB8">
        <w:t>P</w:t>
      </w:r>
      <w:r w:rsidR="00AA2FB8" w:rsidRPr="006422C8">
        <w:t>raktijk</w:t>
      </w:r>
      <w:r w:rsidR="00AA2FB8">
        <w:t xml:space="preserve"> methodiek</w:t>
      </w:r>
    </w:p>
    <w:p w14:paraId="26E889ED" w14:textId="77777777" w:rsidR="00AA2FB8" w:rsidRPr="000E1D15" w:rsidRDefault="00AA2FB8" w:rsidP="007E3DB3">
      <w:pPr>
        <w:rPr>
          <w:b/>
          <w:bCs/>
        </w:rPr>
      </w:pPr>
      <w:r w:rsidRPr="00454CB9">
        <w:t>Digizo.nu biedt een methodiek voor het evalueren en beoordelen van de waarde van digitale</w:t>
      </w:r>
      <w:r w:rsidRPr="5BC4996F">
        <w:t xml:space="preserve"> zorginitiatieven. Digizo.nu werkt volgens de methodiek van het Zorgtransformatiemodel. Gericht op het prioriteren, toetsen en evalueren van het gebruik van digitale toepassingen. De methodiek helpt om de impact van digitale innovaties te analyseren, net zoals de Waardewaaier, maar met een eigen benadering en focus.</w:t>
      </w:r>
    </w:p>
    <w:p w14:paraId="0C8ABC0A" w14:textId="77777777" w:rsidR="007E3DB3" w:rsidRDefault="007E3DB3" w:rsidP="007E3DB3"/>
    <w:p w14:paraId="42001261" w14:textId="65306475" w:rsidR="00AA2FB8" w:rsidRPr="000E1D15" w:rsidRDefault="00AA2FB8" w:rsidP="007E3DB3">
      <w:r w:rsidRPr="000E1D15">
        <w:t>Hier zijn enkele voor- en nadelen van het gebruik van de Waardebepaling in de praktijk en de beoordeling ervan.</w:t>
      </w:r>
    </w:p>
    <w:tbl>
      <w:tblPr>
        <w:tblStyle w:val="Tabelraster"/>
        <w:tblW w:w="0" w:type="auto"/>
        <w:tblLook w:val="04A0" w:firstRow="1" w:lastRow="0" w:firstColumn="1" w:lastColumn="0" w:noHBand="0" w:noVBand="1"/>
      </w:tblPr>
      <w:tblGrid>
        <w:gridCol w:w="4530"/>
        <w:gridCol w:w="4530"/>
      </w:tblGrid>
      <w:tr w:rsidR="00AA2FB8" w:rsidRPr="000E1D15" w14:paraId="2CD929E9" w14:textId="77777777" w:rsidTr="00FC3FDC">
        <w:tc>
          <w:tcPr>
            <w:tcW w:w="4531" w:type="dxa"/>
          </w:tcPr>
          <w:p w14:paraId="17CDF672" w14:textId="77777777" w:rsidR="00AA2FB8" w:rsidRPr="007E3DB3" w:rsidRDefault="00AA2FB8" w:rsidP="00AA2FB8">
            <w:pPr>
              <w:rPr>
                <w:b/>
                <w:bCs/>
                <w:color w:val="ED027E" w:themeColor="accent1"/>
                <w:szCs w:val="20"/>
              </w:rPr>
            </w:pPr>
            <w:r w:rsidRPr="007E3DB3">
              <w:rPr>
                <w:b/>
                <w:bCs/>
                <w:color w:val="ED027E" w:themeColor="accent1"/>
                <w:szCs w:val="20"/>
              </w:rPr>
              <w:t>Voordelen</w:t>
            </w:r>
          </w:p>
        </w:tc>
        <w:tc>
          <w:tcPr>
            <w:tcW w:w="4531" w:type="dxa"/>
          </w:tcPr>
          <w:p w14:paraId="537439C5" w14:textId="77777777" w:rsidR="00AA2FB8" w:rsidRPr="007E3DB3" w:rsidRDefault="00AA2FB8" w:rsidP="00AA2FB8">
            <w:pPr>
              <w:rPr>
                <w:b/>
                <w:bCs/>
                <w:color w:val="ED027E" w:themeColor="accent1"/>
                <w:szCs w:val="20"/>
              </w:rPr>
            </w:pPr>
            <w:r w:rsidRPr="007E3DB3">
              <w:rPr>
                <w:b/>
                <w:bCs/>
                <w:color w:val="ED027E" w:themeColor="accent1"/>
                <w:szCs w:val="20"/>
              </w:rPr>
              <w:t>Nadelen</w:t>
            </w:r>
          </w:p>
        </w:tc>
      </w:tr>
      <w:tr w:rsidR="00AA2FB8" w:rsidRPr="000E1D15" w14:paraId="32A1CBD4" w14:textId="77777777" w:rsidTr="00FC3FDC">
        <w:tc>
          <w:tcPr>
            <w:tcW w:w="4531" w:type="dxa"/>
          </w:tcPr>
          <w:p w14:paraId="2229A657" w14:textId="77777777" w:rsidR="00AA2FB8" w:rsidRPr="007E3DB3" w:rsidRDefault="00AA2FB8" w:rsidP="00AA2FB8">
            <w:pPr>
              <w:rPr>
                <w:b/>
                <w:bCs/>
                <w:szCs w:val="20"/>
              </w:rPr>
            </w:pPr>
            <w:r w:rsidRPr="007E3DB3">
              <w:rPr>
                <w:b/>
                <w:bCs/>
                <w:szCs w:val="20"/>
              </w:rPr>
              <w:t xml:space="preserve">Praktijkgerichte aanpak: </w:t>
            </w:r>
            <w:r w:rsidRPr="007E3DB3">
              <w:rPr>
                <w:szCs w:val="20"/>
              </w:rPr>
              <w:t>De waardebepaling in de praktijk is direct toepasbaar in de praktijk. Het biedt organisaties concrete handvatten om de implementatie van digitale zorgoplossingen te beoordelen, waardoor het mogelijk eenvoudig kan worden geïntegreerd in de dagelijkse zorgprocessen.</w:t>
            </w:r>
          </w:p>
        </w:tc>
        <w:tc>
          <w:tcPr>
            <w:tcW w:w="4531" w:type="dxa"/>
          </w:tcPr>
          <w:p w14:paraId="32DF1127" w14:textId="77777777" w:rsidR="00AA2FB8" w:rsidRPr="007E3DB3" w:rsidRDefault="00AA2FB8" w:rsidP="00AA2FB8">
            <w:pPr>
              <w:rPr>
                <w:b/>
                <w:bCs/>
                <w:szCs w:val="20"/>
              </w:rPr>
            </w:pPr>
            <w:r w:rsidRPr="007E3DB3">
              <w:rPr>
                <w:b/>
                <w:bCs/>
                <w:szCs w:val="20"/>
              </w:rPr>
              <w:t xml:space="preserve">Tijdsinvestering en data-afhankelijkheid: </w:t>
            </w:r>
            <w:r w:rsidRPr="007E3DB3">
              <w:rPr>
                <w:szCs w:val="20"/>
              </w:rPr>
              <w:t>Net als bij andere evaluatiemethodes vereist het gebruik van de methode een aanzienlijke tijdsinvestering. Daarnaast is de nauwkeurigheid van de evaluatie sterk afhankelijk van de beschikbaarheid van kwalitatieve en kwantitatieve data over de zorginnovatie.</w:t>
            </w:r>
          </w:p>
        </w:tc>
      </w:tr>
      <w:tr w:rsidR="00AA2FB8" w:rsidRPr="000E1D15" w14:paraId="63E5F2BB" w14:textId="77777777" w:rsidTr="00FC3FDC">
        <w:tc>
          <w:tcPr>
            <w:tcW w:w="4531" w:type="dxa"/>
          </w:tcPr>
          <w:p w14:paraId="04154283" w14:textId="77777777" w:rsidR="00AA2FB8" w:rsidRPr="007E3DB3" w:rsidRDefault="00AA2FB8" w:rsidP="00AA2FB8">
            <w:pPr>
              <w:rPr>
                <w:b/>
                <w:bCs/>
                <w:szCs w:val="20"/>
              </w:rPr>
            </w:pPr>
            <w:r w:rsidRPr="007E3DB3">
              <w:rPr>
                <w:b/>
                <w:bCs/>
                <w:szCs w:val="20"/>
              </w:rPr>
              <w:t xml:space="preserve">Toepasbaarheid op verschillende digitale zorgtoepassingen: </w:t>
            </w:r>
            <w:r w:rsidRPr="007E3DB3">
              <w:rPr>
                <w:szCs w:val="20"/>
              </w:rPr>
              <w:t xml:space="preserve">De methodiek is breed inzetbaar voor verschillende soorten digitale zorgtoepassingen, variërend van </w:t>
            </w:r>
            <w:proofErr w:type="spellStart"/>
            <w:r w:rsidRPr="007E3DB3">
              <w:rPr>
                <w:szCs w:val="20"/>
              </w:rPr>
              <w:t>telemonitoring</w:t>
            </w:r>
            <w:proofErr w:type="spellEnd"/>
            <w:r w:rsidRPr="007E3DB3">
              <w:rPr>
                <w:szCs w:val="20"/>
              </w:rPr>
              <w:t xml:space="preserve"> tot apps en digitale consulten. Dit maakt het een veelzijdige methode voor evaluatie.</w:t>
            </w:r>
          </w:p>
        </w:tc>
        <w:tc>
          <w:tcPr>
            <w:tcW w:w="4531" w:type="dxa"/>
          </w:tcPr>
          <w:p w14:paraId="3EA53B6F" w14:textId="77777777" w:rsidR="00AA2FB8" w:rsidRPr="007E3DB3" w:rsidRDefault="00AA2FB8" w:rsidP="00AA2FB8">
            <w:pPr>
              <w:rPr>
                <w:b/>
                <w:bCs/>
                <w:szCs w:val="20"/>
              </w:rPr>
            </w:pPr>
            <w:r w:rsidRPr="007E3DB3">
              <w:rPr>
                <w:b/>
                <w:bCs/>
                <w:szCs w:val="20"/>
              </w:rPr>
              <w:t xml:space="preserve">Complexiteit van evaluatieproces: </w:t>
            </w:r>
            <w:r w:rsidRPr="007E3DB3">
              <w:rPr>
                <w:szCs w:val="20"/>
              </w:rPr>
              <w:t xml:space="preserve">Het evalueren van een zorginnovatie via deze methode kan soms complex zijn, vooral voor organisaties zonder veel ervaring met evaluaties van digitale zorg. </w:t>
            </w:r>
          </w:p>
        </w:tc>
      </w:tr>
      <w:tr w:rsidR="00AA2FB8" w:rsidRPr="000E1D15" w14:paraId="021D47E7" w14:textId="77777777" w:rsidTr="00FC3FDC">
        <w:tc>
          <w:tcPr>
            <w:tcW w:w="4531" w:type="dxa"/>
          </w:tcPr>
          <w:p w14:paraId="079DCEDF" w14:textId="77777777" w:rsidR="00AA2FB8" w:rsidRPr="007E3DB3" w:rsidRDefault="00AA2FB8" w:rsidP="00AA2FB8">
            <w:pPr>
              <w:rPr>
                <w:b/>
                <w:bCs/>
                <w:szCs w:val="20"/>
              </w:rPr>
            </w:pPr>
            <w:r w:rsidRPr="007E3DB3">
              <w:rPr>
                <w:b/>
                <w:bCs/>
                <w:szCs w:val="20"/>
              </w:rPr>
              <w:t xml:space="preserve">Gebruik van standaard indicatoren: </w:t>
            </w:r>
            <w:r w:rsidRPr="007E3DB3">
              <w:rPr>
                <w:szCs w:val="20"/>
              </w:rPr>
              <w:t>De methode maakt gebruik van gestandaardiseerde indicatoren, wat consistentie bevordert en het vergelijken van verschillende digitale zorgoplossingen vergemakkelijkt.</w:t>
            </w:r>
          </w:p>
        </w:tc>
        <w:tc>
          <w:tcPr>
            <w:tcW w:w="4531" w:type="dxa"/>
          </w:tcPr>
          <w:p w14:paraId="4C15F9CF" w14:textId="77777777" w:rsidR="00AA2FB8" w:rsidRPr="007E3DB3" w:rsidRDefault="00AA2FB8" w:rsidP="00AA2FB8">
            <w:pPr>
              <w:rPr>
                <w:b/>
                <w:bCs/>
                <w:szCs w:val="20"/>
              </w:rPr>
            </w:pPr>
            <w:r w:rsidRPr="007E3DB3">
              <w:rPr>
                <w:b/>
                <w:bCs/>
                <w:szCs w:val="20"/>
              </w:rPr>
              <w:t xml:space="preserve">Risico van subjectieve interpretaties: </w:t>
            </w:r>
            <w:r w:rsidRPr="007E3DB3">
              <w:rPr>
                <w:szCs w:val="20"/>
              </w:rPr>
              <w:t>Hoewel de methodiek gestandaardiseerd is, bestaat er nog steeds ruimte voor subjectieve interpretaties van de resultaten. Verschillende belanghebbenden binnen een organisatie kunnen verschillende prioriteiten hebben, wat kan leiden tot uiteenlopende conclusies.</w:t>
            </w:r>
          </w:p>
        </w:tc>
      </w:tr>
    </w:tbl>
    <w:p w14:paraId="3A9E066D" w14:textId="77777777" w:rsidR="00B42807" w:rsidRDefault="00B42807" w:rsidP="00AA2FB8"/>
    <w:p w14:paraId="385C2A42" w14:textId="217FB060" w:rsidR="00AA2FB8" w:rsidRPr="000E1D15" w:rsidRDefault="00AA2FB8" w:rsidP="00AA2FB8">
      <w:r w:rsidRPr="000E1D15">
        <w:t>Digizo.nu biedt een gestructureerde en praktijkgerichte methodiek voor het evalueren van digitale zorgoplossingen. Het helpt zorgorganisaties om beslissingen te nemen op basis van een brede set indicatoren, wat zowel de zorgkwaliteit als de efficiëntie ten goede kan komen. Echter, de effectiviteit van de waardebepaling hangt sterk af van de beschikbaarheid van data, de specifieke context van de zorgorganisatie, en de toepasbaarheid op innovatieve zorgoplossingen.</w:t>
      </w:r>
    </w:p>
    <w:p w14:paraId="7404656D" w14:textId="77777777" w:rsidR="00B42807" w:rsidRDefault="00B42807" w:rsidP="00AA2FB8"/>
    <w:p w14:paraId="42CDE871" w14:textId="5B695C3D" w:rsidR="00AA2FB8" w:rsidRPr="00B42807" w:rsidRDefault="00AA2FB8" w:rsidP="00AA2FB8">
      <w:pPr>
        <w:rPr>
          <w:b/>
          <w:bCs/>
        </w:rPr>
      </w:pPr>
      <w:r w:rsidRPr="00B42807">
        <w:rPr>
          <w:b/>
          <w:bCs/>
        </w:rPr>
        <w:t>Domeinen van de Waardebepaling in de praktijk van Digizo.nu:</w:t>
      </w:r>
    </w:p>
    <w:p w14:paraId="705B05F3" w14:textId="43AADB8B" w:rsidR="00AA2FB8" w:rsidRPr="00824CF9" w:rsidRDefault="00B43BF1" w:rsidP="00B43BF1">
      <w:pPr>
        <w:pStyle w:val="Lijstalinea"/>
        <w:rPr>
          <w:rFonts w:asciiTheme="minorHAnsi" w:hAnsiTheme="minorHAnsi" w:cstheme="minorHAnsi"/>
          <w:szCs w:val="20"/>
        </w:rPr>
      </w:pPr>
      <w:r w:rsidRPr="00824CF9">
        <w:rPr>
          <w:rStyle w:val="Zwaar"/>
          <w:rFonts w:asciiTheme="minorHAnsi" w:hAnsiTheme="minorHAnsi" w:cstheme="minorHAnsi"/>
          <w:b w:val="0"/>
          <w:bCs w:val="0"/>
          <w:szCs w:val="20"/>
        </w:rPr>
        <w:t>I</w:t>
      </w:r>
      <w:r w:rsidR="00AA2FB8" w:rsidRPr="00824CF9">
        <w:rPr>
          <w:rStyle w:val="Zwaar"/>
          <w:rFonts w:asciiTheme="minorHAnsi" w:hAnsiTheme="minorHAnsi" w:cstheme="minorHAnsi"/>
          <w:b w:val="0"/>
          <w:bCs w:val="0"/>
          <w:szCs w:val="20"/>
        </w:rPr>
        <w:t>mplementatie</w:t>
      </w:r>
      <w:r w:rsidR="00AA2FB8" w:rsidRPr="00824CF9">
        <w:rPr>
          <w:rFonts w:asciiTheme="minorHAnsi" w:hAnsiTheme="minorHAnsi" w:cstheme="minorHAnsi"/>
          <w:szCs w:val="20"/>
        </w:rPr>
        <w:t xml:space="preserve">, omdat de methodiek direct toepasbaar is in dagelijkse zorgprocessen en concrete handvatten geeft om digitale zorgoplossingen te beoordelen. </w:t>
      </w:r>
    </w:p>
    <w:p w14:paraId="6F001F61" w14:textId="2D364B0D" w:rsidR="00AA2FB8" w:rsidRPr="00824CF9" w:rsidRDefault="00824CF9" w:rsidP="00B43BF1">
      <w:pPr>
        <w:pStyle w:val="Lijstalinea"/>
        <w:rPr>
          <w:rFonts w:asciiTheme="minorHAnsi" w:hAnsiTheme="minorHAnsi" w:cstheme="minorHAnsi"/>
          <w:szCs w:val="20"/>
        </w:rPr>
      </w:pPr>
      <w:r w:rsidRPr="00824CF9">
        <w:rPr>
          <w:rStyle w:val="Zwaar"/>
          <w:rFonts w:asciiTheme="minorHAnsi" w:hAnsiTheme="minorHAnsi" w:cstheme="minorHAnsi"/>
          <w:b w:val="0"/>
          <w:bCs w:val="0"/>
          <w:szCs w:val="20"/>
        </w:rPr>
        <w:t>O</w:t>
      </w:r>
      <w:r w:rsidR="00AA2FB8" w:rsidRPr="00824CF9">
        <w:rPr>
          <w:rStyle w:val="Zwaar"/>
          <w:rFonts w:asciiTheme="minorHAnsi" w:hAnsiTheme="minorHAnsi" w:cstheme="minorHAnsi"/>
          <w:b w:val="0"/>
          <w:bCs w:val="0"/>
          <w:szCs w:val="20"/>
        </w:rPr>
        <w:t>nderzoek en evaluatie</w:t>
      </w:r>
      <w:r w:rsidR="00AA2FB8" w:rsidRPr="00824CF9">
        <w:rPr>
          <w:rFonts w:asciiTheme="minorHAnsi" w:hAnsiTheme="minorHAnsi" w:cstheme="minorHAnsi"/>
          <w:szCs w:val="20"/>
        </w:rPr>
        <w:t xml:space="preserve">, doordat resultaten met inzet van </w:t>
      </w:r>
      <w:r w:rsidR="00AA2FB8" w:rsidRPr="00824CF9">
        <w:rPr>
          <w:rStyle w:val="Zwaar"/>
          <w:rFonts w:asciiTheme="minorHAnsi" w:hAnsiTheme="minorHAnsi" w:cstheme="minorHAnsi"/>
          <w:b w:val="0"/>
          <w:bCs w:val="0"/>
          <w:szCs w:val="20"/>
        </w:rPr>
        <w:t>gestandaardiseerde indicatoren</w:t>
      </w:r>
      <w:r w:rsidR="00AA2FB8" w:rsidRPr="00824CF9">
        <w:rPr>
          <w:rFonts w:asciiTheme="minorHAnsi" w:hAnsiTheme="minorHAnsi" w:cstheme="minorHAnsi"/>
          <w:b/>
          <w:bCs/>
          <w:szCs w:val="20"/>
        </w:rPr>
        <w:t xml:space="preserve"> </w:t>
      </w:r>
      <w:r w:rsidR="00AA2FB8" w:rsidRPr="00824CF9">
        <w:rPr>
          <w:rFonts w:asciiTheme="minorHAnsi" w:hAnsiTheme="minorHAnsi" w:cstheme="minorHAnsi"/>
          <w:szCs w:val="20"/>
        </w:rPr>
        <w:t xml:space="preserve">consistent en vergelijkbaar zijn. </w:t>
      </w:r>
    </w:p>
    <w:p w14:paraId="72C0BFDA" w14:textId="2AC4D0C1" w:rsidR="00AA2FB8" w:rsidRPr="00824CF9" w:rsidRDefault="00824CF9" w:rsidP="00B43BF1">
      <w:pPr>
        <w:pStyle w:val="Lijstalinea"/>
        <w:rPr>
          <w:rFonts w:asciiTheme="minorHAnsi" w:hAnsiTheme="minorHAnsi" w:cstheme="minorHAnsi"/>
          <w:szCs w:val="20"/>
        </w:rPr>
      </w:pPr>
      <w:r w:rsidRPr="00824CF9">
        <w:rPr>
          <w:rStyle w:val="Zwaar"/>
          <w:rFonts w:asciiTheme="minorHAnsi" w:hAnsiTheme="minorHAnsi" w:cstheme="minorHAnsi"/>
          <w:b w:val="0"/>
          <w:bCs w:val="0"/>
          <w:szCs w:val="20"/>
        </w:rPr>
        <w:t>B</w:t>
      </w:r>
      <w:r w:rsidR="00AA2FB8" w:rsidRPr="00824CF9">
        <w:rPr>
          <w:rStyle w:val="Zwaar"/>
          <w:rFonts w:asciiTheme="minorHAnsi" w:hAnsiTheme="minorHAnsi" w:cstheme="minorHAnsi"/>
          <w:b w:val="0"/>
          <w:bCs w:val="0"/>
          <w:szCs w:val="20"/>
        </w:rPr>
        <w:t>eleid en strategie</w:t>
      </w:r>
      <w:r w:rsidR="00AA2FB8" w:rsidRPr="00824CF9">
        <w:rPr>
          <w:rFonts w:asciiTheme="minorHAnsi" w:hAnsiTheme="minorHAnsi" w:cstheme="minorHAnsi"/>
          <w:szCs w:val="20"/>
        </w:rPr>
        <w:t>, door organisaties inzicht te geven in de impact van digitale innovaties en zo weloverwogen keuzes mogelijk te maken.</w:t>
      </w:r>
    </w:p>
    <w:p w14:paraId="678CF286" w14:textId="77777777" w:rsidR="00AA2FB8" w:rsidRPr="00265EC6" w:rsidRDefault="00AA2FB8" w:rsidP="00AA2FB8">
      <w:pPr>
        <w:rPr>
          <w:b/>
          <w:bCs/>
        </w:rPr>
      </w:pPr>
    </w:p>
    <w:p w14:paraId="2540E0EA" w14:textId="4D0F767F" w:rsidR="00AA2FB8" w:rsidRDefault="00824CF9" w:rsidP="00AA2FB8">
      <w:r w:rsidRPr="00824CF9">
        <w:rPr>
          <w:rStyle w:val="Kop1Char"/>
        </w:rPr>
        <w:t xml:space="preserve">4. </w:t>
      </w:r>
      <w:r w:rsidR="00AA2FB8" w:rsidRPr="00824CF9">
        <w:rPr>
          <w:rStyle w:val="Kop1Char"/>
        </w:rPr>
        <w:t>Weten Wat Werkt Methode</w:t>
      </w:r>
      <w:r w:rsidR="00AA2FB8" w:rsidRPr="000E1D15">
        <w:rPr>
          <w:b/>
          <w:bCs/>
        </w:rPr>
        <w:br/>
      </w:r>
      <w:r w:rsidR="00AA2FB8" w:rsidRPr="00824CF9">
        <w:t>De Weten Wat Werkt-methode van TZA (Technologische Zorg Academie) en Vitaal Twente richt zich op het meten van de effectiviteit van (zorg)technologieën. Het biedt een praktische aanpak om zorgorganisaties te helpen bij het implementeren en evalueren van (zorg)technologieën.</w:t>
      </w:r>
    </w:p>
    <w:p w14:paraId="03BC5CD8" w14:textId="77777777" w:rsidR="00824CF9" w:rsidRPr="00824CF9" w:rsidRDefault="00824CF9" w:rsidP="00AA2FB8"/>
    <w:tbl>
      <w:tblPr>
        <w:tblStyle w:val="Tabelraster"/>
        <w:tblW w:w="0" w:type="auto"/>
        <w:tblLook w:val="04A0" w:firstRow="1" w:lastRow="0" w:firstColumn="1" w:lastColumn="0" w:noHBand="0" w:noVBand="1"/>
      </w:tblPr>
      <w:tblGrid>
        <w:gridCol w:w="4530"/>
        <w:gridCol w:w="4530"/>
      </w:tblGrid>
      <w:tr w:rsidR="00AA2FB8" w:rsidRPr="000E1D15" w14:paraId="5C9B74E8" w14:textId="77777777" w:rsidTr="00FC3FDC">
        <w:tc>
          <w:tcPr>
            <w:tcW w:w="4531" w:type="dxa"/>
          </w:tcPr>
          <w:p w14:paraId="45012981" w14:textId="77777777" w:rsidR="00AA2FB8" w:rsidRPr="00824CF9" w:rsidRDefault="00AA2FB8" w:rsidP="00824CF9">
            <w:pPr>
              <w:rPr>
                <w:b/>
                <w:bCs/>
                <w:color w:val="ED027E" w:themeColor="accent1"/>
              </w:rPr>
            </w:pPr>
            <w:r w:rsidRPr="00824CF9">
              <w:rPr>
                <w:b/>
                <w:bCs/>
                <w:color w:val="ED027E" w:themeColor="accent1"/>
              </w:rPr>
              <w:t>Voordelen</w:t>
            </w:r>
          </w:p>
        </w:tc>
        <w:tc>
          <w:tcPr>
            <w:tcW w:w="4531" w:type="dxa"/>
          </w:tcPr>
          <w:p w14:paraId="58A2120D" w14:textId="77777777" w:rsidR="00AA2FB8" w:rsidRPr="00824CF9" w:rsidRDefault="00AA2FB8" w:rsidP="00824CF9">
            <w:pPr>
              <w:rPr>
                <w:b/>
                <w:bCs/>
                <w:color w:val="ED027E" w:themeColor="accent1"/>
              </w:rPr>
            </w:pPr>
            <w:r w:rsidRPr="00824CF9">
              <w:rPr>
                <w:b/>
                <w:bCs/>
                <w:color w:val="ED027E" w:themeColor="accent1"/>
              </w:rPr>
              <w:t>Nadelen</w:t>
            </w:r>
          </w:p>
        </w:tc>
      </w:tr>
      <w:tr w:rsidR="00AA2FB8" w:rsidRPr="000E1D15" w14:paraId="51414E88" w14:textId="77777777" w:rsidTr="00FC3FDC">
        <w:tc>
          <w:tcPr>
            <w:tcW w:w="4531" w:type="dxa"/>
          </w:tcPr>
          <w:p w14:paraId="52E0CF9B" w14:textId="77777777" w:rsidR="00AA2FB8" w:rsidRPr="000E1D15" w:rsidRDefault="00AA2FB8" w:rsidP="00824CF9">
            <w:r w:rsidRPr="000E1D15">
              <w:t>Praktijkgericht: Specifiek ontworpen voor zorgorganisaties, wat de toepasbaarheid in de dagelijkse praktijk vergroot.</w:t>
            </w:r>
          </w:p>
        </w:tc>
        <w:tc>
          <w:tcPr>
            <w:tcW w:w="4531" w:type="dxa"/>
          </w:tcPr>
          <w:p w14:paraId="158959A8" w14:textId="77777777" w:rsidR="00AA2FB8" w:rsidRPr="000E1D15" w:rsidRDefault="00AA2FB8" w:rsidP="00824CF9">
            <w:r w:rsidRPr="000E1D15">
              <w:t>Data-afhankelijkheid: Resultaten zijn sterk afhankelijk van de beschikbaarheid en kwaliteit van gegevens.</w:t>
            </w:r>
          </w:p>
        </w:tc>
      </w:tr>
      <w:tr w:rsidR="00AA2FB8" w:rsidRPr="000E1D15" w14:paraId="5DF77ADD" w14:textId="77777777" w:rsidTr="00FC3FDC">
        <w:tc>
          <w:tcPr>
            <w:tcW w:w="4531" w:type="dxa"/>
          </w:tcPr>
          <w:p w14:paraId="516EA2B4" w14:textId="77777777" w:rsidR="00AA2FB8" w:rsidRPr="000E1D15" w:rsidRDefault="00AA2FB8" w:rsidP="00824CF9">
            <w:r w:rsidRPr="000E1D15">
              <w:t>Standaardisatie: De methode biedt standaard meetinstrumenten en indicatoren.</w:t>
            </w:r>
          </w:p>
        </w:tc>
        <w:tc>
          <w:tcPr>
            <w:tcW w:w="4531" w:type="dxa"/>
          </w:tcPr>
          <w:p w14:paraId="1C64B16E" w14:textId="77777777" w:rsidR="00AA2FB8" w:rsidRPr="000E1D15" w:rsidRDefault="00AA2FB8" w:rsidP="00824CF9">
            <w:r w:rsidRPr="000E1D15">
              <w:t>Soms generieke meetmethoden: De gestandaardiseerde aanpak kan soms niet voldoende zijn voor niche- of zeer complexe technologieën.</w:t>
            </w:r>
          </w:p>
        </w:tc>
      </w:tr>
      <w:tr w:rsidR="00AA2FB8" w:rsidRPr="000E1D15" w14:paraId="10479588" w14:textId="77777777" w:rsidTr="00FC3FDC">
        <w:tc>
          <w:tcPr>
            <w:tcW w:w="4531" w:type="dxa"/>
          </w:tcPr>
          <w:p w14:paraId="7A314912" w14:textId="77777777" w:rsidR="00AA2FB8" w:rsidRPr="000E1D15" w:rsidRDefault="00AA2FB8" w:rsidP="00824CF9">
            <w:r w:rsidRPr="000E1D15">
              <w:t>Focus op gebruikservaring: De methode richt zich ook op de ervaringen van zorgverleners en cliënten, wat helpt bij de acceptatie van technologie.</w:t>
            </w:r>
          </w:p>
        </w:tc>
        <w:tc>
          <w:tcPr>
            <w:tcW w:w="4531" w:type="dxa"/>
          </w:tcPr>
          <w:p w14:paraId="4FCD411B" w14:textId="77777777" w:rsidR="00AA2FB8" w:rsidRPr="000E1D15" w:rsidRDefault="00AA2FB8" w:rsidP="00824CF9"/>
        </w:tc>
      </w:tr>
    </w:tbl>
    <w:p w14:paraId="665FE52C" w14:textId="77777777" w:rsidR="00824CF9" w:rsidRDefault="00824CF9" w:rsidP="00AA2FB8"/>
    <w:p w14:paraId="25404B63" w14:textId="4B827218" w:rsidR="00AA2FB8" w:rsidRPr="000E1D15" w:rsidRDefault="00AA2FB8" w:rsidP="00AA2FB8">
      <w:r w:rsidRPr="7983909F">
        <w:t xml:space="preserve">De Weten Wat Werkt methode biedt een bruikbare en gestandaardiseerde evaluatiemethode, maar kan beperkt zijn door beschikbaarheid van data en de kwaliteit van beschikbare data. </w:t>
      </w:r>
    </w:p>
    <w:p w14:paraId="2E98EBA9" w14:textId="77777777" w:rsidR="00AA2FB8" w:rsidRDefault="00AA2FB8" w:rsidP="00AA2FB8"/>
    <w:p w14:paraId="3B956BF1" w14:textId="77777777" w:rsidR="00AA2FB8" w:rsidRPr="00824CF9" w:rsidRDefault="00AA2FB8" w:rsidP="00AA2FB8">
      <w:pPr>
        <w:rPr>
          <w:b/>
          <w:bCs/>
        </w:rPr>
      </w:pPr>
      <w:r w:rsidRPr="00824CF9">
        <w:rPr>
          <w:b/>
          <w:bCs/>
        </w:rPr>
        <w:t>Domeinen van de Weten Wat Werkt-methode van TZA en Vitaal Twente:</w:t>
      </w:r>
    </w:p>
    <w:p w14:paraId="6E5AC335" w14:textId="12205AFF" w:rsidR="00AA2FB8" w:rsidRPr="000E1D15" w:rsidRDefault="00AA2FB8" w:rsidP="00824CF9">
      <w:pPr>
        <w:pStyle w:val="Lijstalinea"/>
      </w:pPr>
      <w:r w:rsidRPr="7983909F">
        <w:t>I</w:t>
      </w:r>
      <w:r w:rsidRPr="00824CF9">
        <w:rPr>
          <w:rStyle w:val="Zwaar"/>
          <w:rFonts w:ascii="Calibri" w:hAnsi="Calibri" w:cs="Calibri"/>
          <w:b w:val="0"/>
          <w:bCs w:val="0"/>
          <w:sz w:val="22"/>
        </w:rPr>
        <w:t>mplementatie</w:t>
      </w:r>
      <w:r w:rsidRPr="7983909F">
        <w:t xml:space="preserve">, doordat zorgorganisaties praktische handvatten krijgen om (zorg)technologieën stap voor stap in te voeren en te beoordelen. </w:t>
      </w:r>
    </w:p>
    <w:p w14:paraId="2AFFAD1C" w14:textId="77777777" w:rsidR="00AA2FB8" w:rsidRPr="000E1D15" w:rsidRDefault="00AA2FB8" w:rsidP="00824CF9">
      <w:pPr>
        <w:pStyle w:val="Lijstalinea"/>
      </w:pPr>
      <w:r w:rsidRPr="7983909F">
        <w:t>K</w:t>
      </w:r>
      <w:r w:rsidRPr="00824CF9">
        <w:rPr>
          <w:rStyle w:val="Zwaar"/>
          <w:rFonts w:ascii="Calibri" w:hAnsi="Calibri" w:cs="Calibri"/>
          <w:b w:val="0"/>
          <w:bCs w:val="0"/>
          <w:sz w:val="22"/>
        </w:rPr>
        <w:t>waliteit van zorg en cliëntervaringen</w:t>
      </w:r>
      <w:r w:rsidRPr="7983909F">
        <w:t xml:space="preserve">, omdat naast meetbare effecten ook de ervaringen van cliënten en zorgverleners centraal staan.  </w:t>
      </w:r>
    </w:p>
    <w:p w14:paraId="4D831558" w14:textId="49B480B9" w:rsidR="003274CD" w:rsidRPr="001040B4" w:rsidRDefault="00AA2FB8" w:rsidP="00824CF9">
      <w:pPr>
        <w:pStyle w:val="Lijstalinea"/>
      </w:pPr>
      <w:r w:rsidRPr="00824CF9">
        <w:rPr>
          <w:rStyle w:val="Zwaar"/>
          <w:rFonts w:ascii="Calibri" w:hAnsi="Calibri" w:cs="Calibri"/>
          <w:b w:val="0"/>
          <w:bCs w:val="0"/>
          <w:sz w:val="22"/>
        </w:rPr>
        <w:t>Onderzoek en evaluatie</w:t>
      </w:r>
      <w:r w:rsidRPr="7983909F">
        <w:t>, met de inzet van standaard meetinstrumenten en indicatorenwaardoor resultaten onderling goed te vergelijken zijn.</w:t>
      </w:r>
    </w:p>
    <w:p w14:paraId="2E9D41E0" w14:textId="77777777" w:rsidR="00657AB0" w:rsidRDefault="00657AB0" w:rsidP="00657AB0"/>
    <w:p w14:paraId="61F4FBD9" w14:textId="77777777" w:rsidR="00E6025A" w:rsidRPr="000D6F33" w:rsidRDefault="00E6025A" w:rsidP="000D6F33">
      <w:pPr>
        <w:sectPr w:rsidR="00E6025A" w:rsidRPr="000D6F33" w:rsidSect="00B63615">
          <w:headerReference w:type="default" r:id="rId16"/>
          <w:footerReference w:type="even" r:id="rId17"/>
          <w:footerReference w:type="default" r:id="rId18"/>
          <w:headerReference w:type="first" r:id="rId19"/>
          <w:type w:val="continuous"/>
          <w:pgSz w:w="11906" w:h="16838"/>
          <w:pgMar w:top="1418" w:right="1418" w:bottom="1418" w:left="1418" w:header="709" w:footer="709" w:gutter="0"/>
          <w:cols w:space="708"/>
          <w:formProt w:val="0"/>
          <w:docGrid w:linePitch="360"/>
        </w:sectPr>
      </w:pPr>
    </w:p>
    <w:p w14:paraId="0E6EACFF" w14:textId="77777777" w:rsidR="009B3155" w:rsidRPr="00B63615" w:rsidRDefault="00070423" w:rsidP="00677C5C">
      <w:pPr>
        <w:pStyle w:val="Kop1"/>
        <w:rPr>
          <w:rStyle w:val="Kop1Char"/>
          <w:b/>
          <w:bCs/>
          <w:iCs/>
        </w:rPr>
      </w:pPr>
      <w:r>
        <w:rPr>
          <w:b w:val="0"/>
          <w:bCs w:val="0"/>
          <w:color w:val="E9841D"/>
          <w:sz w:val="52"/>
          <w:szCs w:val="52"/>
        </w:rPr>
        <w:drawing>
          <wp:anchor distT="0" distB="0" distL="114300" distR="114300" simplePos="0" relativeHeight="251659264" behindDoc="0" locked="0" layoutInCell="1" allowOverlap="1" wp14:anchorId="4C6CFEF3" wp14:editId="0C7D97D5">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20">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46EF5B19"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21" w:history="1">
        <w:r w:rsidRPr="004248AC">
          <w:rPr>
            <w:rStyle w:val="Hyperlink"/>
            <w:rFonts w:eastAsiaTheme="majorEastAsia"/>
            <w:szCs w:val="20"/>
          </w:rPr>
          <w:t>InnovatieRoute</w:t>
        </w:r>
      </w:hyperlink>
      <w:r>
        <w:t>.</w:t>
      </w:r>
      <w:r w:rsidR="00F563E9">
        <w:rPr>
          <w:rFonts w:eastAsiaTheme="majorEastAsia"/>
        </w:rPr>
        <w:br/>
      </w:r>
    </w:p>
    <w:p w14:paraId="6786AB37" w14:textId="77777777" w:rsidR="006D6009" w:rsidRPr="00F428BA" w:rsidRDefault="006D6009" w:rsidP="006D6009">
      <w:pPr>
        <w:pStyle w:val="Kop2"/>
        <w:rPr>
          <w:sz w:val="32"/>
          <w:szCs w:val="32"/>
        </w:rPr>
      </w:pPr>
      <w:r w:rsidRPr="00B63615">
        <w:t xml:space="preserve">Jaar van publicatie </w:t>
      </w:r>
    </w:p>
    <w:p w14:paraId="346354B8"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61B5D45C" w14:textId="77777777" w:rsidR="009842F7" w:rsidRPr="009842F7" w:rsidRDefault="009842F7" w:rsidP="009842F7">
      <w:pPr>
        <w:pStyle w:val="Kop2"/>
        <w:rPr>
          <w:rFonts w:eastAsiaTheme="majorEastAsia"/>
          <w:szCs w:val="20"/>
        </w:rPr>
      </w:pPr>
      <w:r>
        <w:t>Di</w:t>
      </w:r>
      <w:r w:rsidRPr="00B63615">
        <w:t>sclaimer</w:t>
      </w:r>
    </w:p>
    <w:p w14:paraId="17A0AC22"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09F85E9C"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18523A60"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25963517"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22"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0E7F8063"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23"/>
      <w:footerReference w:type="default" r:id="rId24"/>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4172" w14:textId="77777777" w:rsidR="003274CD" w:rsidRDefault="003274CD" w:rsidP="00E9176F">
      <w:r>
        <w:separator/>
      </w:r>
    </w:p>
  </w:endnote>
  <w:endnote w:type="continuationSeparator" w:id="0">
    <w:p w14:paraId="465E364B" w14:textId="77777777" w:rsidR="003274CD" w:rsidRDefault="003274CD"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482BF372"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59273102"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2E90"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75EE8DE5" wp14:editId="5BC67A95">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5C7F087E" w14:textId="0DCDF785" w:rsidR="00F05C53" w:rsidRPr="00814662" w:rsidRDefault="00D0338F" w:rsidP="00657AB0">
                          <w:pPr>
                            <w:pStyle w:val="Voettekst"/>
                          </w:pPr>
                          <w:r>
                            <w:t>Methodieken waardebepaling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E8DE5"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5C7F087E" w14:textId="0DCDF785" w:rsidR="00F05C53" w:rsidRPr="00814662" w:rsidRDefault="00D0338F" w:rsidP="00657AB0">
                    <w:pPr>
                      <w:pStyle w:val="Voettekst"/>
                    </w:pPr>
                    <w:r>
                      <w:t>Methodieken waardebepaling</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130924AE"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60D0DCEF"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685991A6" wp14:editId="4F35803E">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D6987"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B18A"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5285BCCA" wp14:editId="6FA86B4B">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FBBB0C"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B291B40" wp14:editId="63073B97">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36F68"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D66B" w14:textId="77777777" w:rsidR="003274CD" w:rsidRDefault="003274CD" w:rsidP="00E9176F">
      <w:r>
        <w:separator/>
      </w:r>
    </w:p>
  </w:footnote>
  <w:footnote w:type="continuationSeparator" w:id="0">
    <w:p w14:paraId="351E17B8" w14:textId="77777777" w:rsidR="003274CD" w:rsidRDefault="003274CD"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B44" w14:textId="77777777" w:rsidR="009B3155" w:rsidRDefault="00657AB0">
    <w:pPr>
      <w:pStyle w:val="Koptekst"/>
    </w:pPr>
    <w:r>
      <w:rPr>
        <w:noProof/>
      </w:rPr>
      <w:drawing>
        <wp:anchor distT="0" distB="0" distL="114300" distR="114300" simplePos="0" relativeHeight="251680768" behindDoc="0" locked="0" layoutInCell="1" allowOverlap="1" wp14:anchorId="0091864F" wp14:editId="69DA474F">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99C9" w14:textId="77777777" w:rsidR="00450F6A" w:rsidRDefault="00450F6A" w:rsidP="00E9176F">
    <w:pPr>
      <w:pStyle w:val="Koptekst"/>
    </w:pPr>
  </w:p>
  <w:p w14:paraId="471C671F"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8123"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AD5"/>
    <w:multiLevelType w:val="hybridMultilevel"/>
    <w:tmpl w:val="346213D8"/>
    <w:lvl w:ilvl="0" w:tplc="969C5C6C">
      <w:start w:val="1"/>
      <w:numFmt w:val="bullet"/>
      <w:lvlText w:val=""/>
      <w:lvlJc w:val="left"/>
      <w:pPr>
        <w:ind w:left="720" w:hanging="360"/>
      </w:pPr>
      <w:rPr>
        <w:rFonts w:ascii="Symbol" w:hAnsi="Symbol" w:hint="default"/>
      </w:rPr>
    </w:lvl>
    <w:lvl w:ilvl="1" w:tplc="2448626C">
      <w:start w:val="1"/>
      <w:numFmt w:val="bullet"/>
      <w:lvlText w:val="o"/>
      <w:lvlJc w:val="left"/>
      <w:pPr>
        <w:ind w:left="1440" w:hanging="360"/>
      </w:pPr>
      <w:rPr>
        <w:rFonts w:ascii="Courier New" w:hAnsi="Courier New" w:hint="default"/>
      </w:rPr>
    </w:lvl>
    <w:lvl w:ilvl="2" w:tplc="22CC3D98">
      <w:start w:val="1"/>
      <w:numFmt w:val="bullet"/>
      <w:lvlText w:val=""/>
      <w:lvlJc w:val="left"/>
      <w:pPr>
        <w:ind w:left="2160" w:hanging="360"/>
      </w:pPr>
      <w:rPr>
        <w:rFonts w:ascii="Wingdings" w:hAnsi="Wingdings" w:hint="default"/>
      </w:rPr>
    </w:lvl>
    <w:lvl w:ilvl="3" w:tplc="6F826284">
      <w:start w:val="1"/>
      <w:numFmt w:val="bullet"/>
      <w:lvlText w:val=""/>
      <w:lvlJc w:val="left"/>
      <w:pPr>
        <w:ind w:left="2880" w:hanging="360"/>
      </w:pPr>
      <w:rPr>
        <w:rFonts w:ascii="Symbol" w:hAnsi="Symbol" w:hint="default"/>
      </w:rPr>
    </w:lvl>
    <w:lvl w:ilvl="4" w:tplc="012659F0">
      <w:start w:val="1"/>
      <w:numFmt w:val="bullet"/>
      <w:lvlText w:val="o"/>
      <w:lvlJc w:val="left"/>
      <w:pPr>
        <w:ind w:left="3600" w:hanging="360"/>
      </w:pPr>
      <w:rPr>
        <w:rFonts w:ascii="Courier New" w:hAnsi="Courier New" w:hint="default"/>
      </w:rPr>
    </w:lvl>
    <w:lvl w:ilvl="5" w:tplc="BFB63D54">
      <w:start w:val="1"/>
      <w:numFmt w:val="bullet"/>
      <w:lvlText w:val=""/>
      <w:lvlJc w:val="left"/>
      <w:pPr>
        <w:ind w:left="4320" w:hanging="360"/>
      </w:pPr>
      <w:rPr>
        <w:rFonts w:ascii="Wingdings" w:hAnsi="Wingdings" w:hint="default"/>
      </w:rPr>
    </w:lvl>
    <w:lvl w:ilvl="6" w:tplc="09FE9EBE">
      <w:start w:val="1"/>
      <w:numFmt w:val="bullet"/>
      <w:lvlText w:val=""/>
      <w:lvlJc w:val="left"/>
      <w:pPr>
        <w:ind w:left="5040" w:hanging="360"/>
      </w:pPr>
      <w:rPr>
        <w:rFonts w:ascii="Symbol" w:hAnsi="Symbol" w:hint="default"/>
      </w:rPr>
    </w:lvl>
    <w:lvl w:ilvl="7" w:tplc="8A9A9A48">
      <w:start w:val="1"/>
      <w:numFmt w:val="bullet"/>
      <w:lvlText w:val="o"/>
      <w:lvlJc w:val="left"/>
      <w:pPr>
        <w:ind w:left="5760" w:hanging="360"/>
      </w:pPr>
      <w:rPr>
        <w:rFonts w:ascii="Courier New" w:hAnsi="Courier New" w:hint="default"/>
      </w:rPr>
    </w:lvl>
    <w:lvl w:ilvl="8" w:tplc="548ABB98">
      <w:start w:val="1"/>
      <w:numFmt w:val="bullet"/>
      <w:lvlText w:val=""/>
      <w:lvlJc w:val="left"/>
      <w:pPr>
        <w:ind w:left="6480" w:hanging="360"/>
      </w:pPr>
      <w:rPr>
        <w:rFonts w:ascii="Wingdings" w:hAnsi="Wingdings" w:hint="default"/>
      </w:rPr>
    </w:lvl>
  </w:abstractNum>
  <w:abstractNum w:abstractNumId="1" w15:restartNumberingAfterBreak="0">
    <w:nsid w:val="2BE06108"/>
    <w:multiLevelType w:val="multilevel"/>
    <w:tmpl w:val="7F985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D3445"/>
    <w:multiLevelType w:val="hybridMultilevel"/>
    <w:tmpl w:val="56686BA8"/>
    <w:lvl w:ilvl="0" w:tplc="8B8CE048">
      <w:start w:val="1"/>
      <w:numFmt w:val="bullet"/>
      <w:lvlText w:val=""/>
      <w:lvlJc w:val="left"/>
      <w:pPr>
        <w:ind w:left="720" w:hanging="360"/>
      </w:pPr>
      <w:rPr>
        <w:rFonts w:ascii="Symbol" w:hAnsi="Symbol" w:hint="default"/>
      </w:rPr>
    </w:lvl>
    <w:lvl w:ilvl="1" w:tplc="D13EBD6A">
      <w:start w:val="1"/>
      <w:numFmt w:val="bullet"/>
      <w:lvlText w:val="o"/>
      <w:lvlJc w:val="left"/>
      <w:pPr>
        <w:ind w:left="1440" w:hanging="360"/>
      </w:pPr>
      <w:rPr>
        <w:rFonts w:ascii="Courier New" w:hAnsi="Courier New" w:hint="default"/>
      </w:rPr>
    </w:lvl>
    <w:lvl w:ilvl="2" w:tplc="291202FA">
      <w:start w:val="1"/>
      <w:numFmt w:val="bullet"/>
      <w:lvlText w:val=""/>
      <w:lvlJc w:val="left"/>
      <w:pPr>
        <w:ind w:left="2160" w:hanging="360"/>
      </w:pPr>
      <w:rPr>
        <w:rFonts w:ascii="Wingdings" w:hAnsi="Wingdings" w:hint="default"/>
      </w:rPr>
    </w:lvl>
    <w:lvl w:ilvl="3" w:tplc="9B3E0E36">
      <w:start w:val="1"/>
      <w:numFmt w:val="bullet"/>
      <w:lvlText w:val=""/>
      <w:lvlJc w:val="left"/>
      <w:pPr>
        <w:ind w:left="2880" w:hanging="360"/>
      </w:pPr>
      <w:rPr>
        <w:rFonts w:ascii="Symbol" w:hAnsi="Symbol" w:hint="default"/>
      </w:rPr>
    </w:lvl>
    <w:lvl w:ilvl="4" w:tplc="90EC3F4C">
      <w:start w:val="1"/>
      <w:numFmt w:val="bullet"/>
      <w:lvlText w:val="o"/>
      <w:lvlJc w:val="left"/>
      <w:pPr>
        <w:ind w:left="3600" w:hanging="360"/>
      </w:pPr>
      <w:rPr>
        <w:rFonts w:ascii="Courier New" w:hAnsi="Courier New" w:hint="default"/>
      </w:rPr>
    </w:lvl>
    <w:lvl w:ilvl="5" w:tplc="C5502DD6">
      <w:start w:val="1"/>
      <w:numFmt w:val="bullet"/>
      <w:lvlText w:val=""/>
      <w:lvlJc w:val="left"/>
      <w:pPr>
        <w:ind w:left="4320" w:hanging="360"/>
      </w:pPr>
      <w:rPr>
        <w:rFonts w:ascii="Wingdings" w:hAnsi="Wingdings" w:hint="default"/>
      </w:rPr>
    </w:lvl>
    <w:lvl w:ilvl="6" w:tplc="B8B6D1E4">
      <w:start w:val="1"/>
      <w:numFmt w:val="bullet"/>
      <w:lvlText w:val=""/>
      <w:lvlJc w:val="left"/>
      <w:pPr>
        <w:ind w:left="5040" w:hanging="360"/>
      </w:pPr>
      <w:rPr>
        <w:rFonts w:ascii="Symbol" w:hAnsi="Symbol" w:hint="default"/>
      </w:rPr>
    </w:lvl>
    <w:lvl w:ilvl="7" w:tplc="B70831B6">
      <w:start w:val="1"/>
      <w:numFmt w:val="bullet"/>
      <w:lvlText w:val="o"/>
      <w:lvlJc w:val="left"/>
      <w:pPr>
        <w:ind w:left="5760" w:hanging="360"/>
      </w:pPr>
      <w:rPr>
        <w:rFonts w:ascii="Courier New" w:hAnsi="Courier New" w:hint="default"/>
      </w:rPr>
    </w:lvl>
    <w:lvl w:ilvl="8" w:tplc="6038D81C">
      <w:start w:val="1"/>
      <w:numFmt w:val="bullet"/>
      <w:lvlText w:val=""/>
      <w:lvlJc w:val="left"/>
      <w:pPr>
        <w:ind w:left="6480" w:hanging="360"/>
      </w:pPr>
      <w:rPr>
        <w:rFonts w:ascii="Wingdings" w:hAnsi="Wingdings" w:hint="default"/>
      </w:rPr>
    </w:lvl>
  </w:abstractNum>
  <w:abstractNum w:abstractNumId="3"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6474927"/>
    <w:multiLevelType w:val="hybridMultilevel"/>
    <w:tmpl w:val="4836C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FAF554"/>
    <w:multiLevelType w:val="hybridMultilevel"/>
    <w:tmpl w:val="25AA5B78"/>
    <w:lvl w:ilvl="0" w:tplc="7AC8C4FA">
      <w:start w:val="1"/>
      <w:numFmt w:val="bullet"/>
      <w:lvlText w:val=""/>
      <w:lvlJc w:val="left"/>
      <w:pPr>
        <w:ind w:left="720" w:hanging="360"/>
      </w:pPr>
      <w:rPr>
        <w:rFonts w:ascii="Symbol" w:hAnsi="Symbol" w:hint="default"/>
      </w:rPr>
    </w:lvl>
    <w:lvl w:ilvl="1" w:tplc="281E5966">
      <w:start w:val="1"/>
      <w:numFmt w:val="bullet"/>
      <w:lvlText w:val="o"/>
      <w:lvlJc w:val="left"/>
      <w:pPr>
        <w:ind w:left="1440" w:hanging="360"/>
      </w:pPr>
      <w:rPr>
        <w:rFonts w:ascii="Courier New" w:hAnsi="Courier New" w:hint="default"/>
      </w:rPr>
    </w:lvl>
    <w:lvl w:ilvl="2" w:tplc="EF484712">
      <w:start w:val="1"/>
      <w:numFmt w:val="bullet"/>
      <w:lvlText w:val=""/>
      <w:lvlJc w:val="left"/>
      <w:pPr>
        <w:ind w:left="2160" w:hanging="360"/>
      </w:pPr>
      <w:rPr>
        <w:rFonts w:ascii="Wingdings" w:hAnsi="Wingdings" w:hint="default"/>
      </w:rPr>
    </w:lvl>
    <w:lvl w:ilvl="3" w:tplc="D8385664">
      <w:start w:val="1"/>
      <w:numFmt w:val="bullet"/>
      <w:lvlText w:val=""/>
      <w:lvlJc w:val="left"/>
      <w:pPr>
        <w:ind w:left="2880" w:hanging="360"/>
      </w:pPr>
      <w:rPr>
        <w:rFonts w:ascii="Symbol" w:hAnsi="Symbol" w:hint="default"/>
      </w:rPr>
    </w:lvl>
    <w:lvl w:ilvl="4" w:tplc="A7FE2B6C">
      <w:start w:val="1"/>
      <w:numFmt w:val="bullet"/>
      <w:lvlText w:val="o"/>
      <w:lvlJc w:val="left"/>
      <w:pPr>
        <w:ind w:left="3600" w:hanging="360"/>
      </w:pPr>
      <w:rPr>
        <w:rFonts w:ascii="Courier New" w:hAnsi="Courier New" w:hint="default"/>
      </w:rPr>
    </w:lvl>
    <w:lvl w:ilvl="5" w:tplc="2CDEAAFA">
      <w:start w:val="1"/>
      <w:numFmt w:val="bullet"/>
      <w:lvlText w:val=""/>
      <w:lvlJc w:val="left"/>
      <w:pPr>
        <w:ind w:left="4320" w:hanging="360"/>
      </w:pPr>
      <w:rPr>
        <w:rFonts w:ascii="Wingdings" w:hAnsi="Wingdings" w:hint="default"/>
      </w:rPr>
    </w:lvl>
    <w:lvl w:ilvl="6" w:tplc="CCD6B7F4">
      <w:start w:val="1"/>
      <w:numFmt w:val="bullet"/>
      <w:lvlText w:val=""/>
      <w:lvlJc w:val="left"/>
      <w:pPr>
        <w:ind w:left="5040" w:hanging="360"/>
      </w:pPr>
      <w:rPr>
        <w:rFonts w:ascii="Symbol" w:hAnsi="Symbol" w:hint="default"/>
      </w:rPr>
    </w:lvl>
    <w:lvl w:ilvl="7" w:tplc="B73057EE">
      <w:start w:val="1"/>
      <w:numFmt w:val="bullet"/>
      <w:lvlText w:val="o"/>
      <w:lvlJc w:val="left"/>
      <w:pPr>
        <w:ind w:left="5760" w:hanging="360"/>
      </w:pPr>
      <w:rPr>
        <w:rFonts w:ascii="Courier New" w:hAnsi="Courier New" w:hint="default"/>
      </w:rPr>
    </w:lvl>
    <w:lvl w:ilvl="8" w:tplc="BB948BCC">
      <w:start w:val="1"/>
      <w:numFmt w:val="bullet"/>
      <w:lvlText w:val=""/>
      <w:lvlJc w:val="left"/>
      <w:pPr>
        <w:ind w:left="6480" w:hanging="360"/>
      </w:pPr>
      <w:rPr>
        <w:rFonts w:ascii="Wingdings" w:hAnsi="Wingdings" w:hint="default"/>
      </w:rPr>
    </w:lvl>
  </w:abstractNum>
  <w:num w:numId="1" w16cid:durableId="852912737">
    <w:abstractNumId w:val="3"/>
  </w:num>
  <w:num w:numId="2" w16cid:durableId="1106196662">
    <w:abstractNumId w:val="1"/>
  </w:num>
  <w:num w:numId="3" w16cid:durableId="1540780442">
    <w:abstractNumId w:val="4"/>
  </w:num>
  <w:num w:numId="4" w16cid:durableId="1610433158">
    <w:abstractNumId w:val="5"/>
  </w:num>
  <w:num w:numId="5" w16cid:durableId="479079437">
    <w:abstractNumId w:val="2"/>
  </w:num>
  <w:num w:numId="6" w16cid:durableId="9394898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FlEBFV3cGozZm3uMDNGsSisltdG8NueXsdY+X0uZjL6qzZibJm5YiyEYhX3KEahqsHOC0YHkxVopnCpg0Yq9CA==" w:salt="H9IhE3CMIF1FuXr3NGiS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CD"/>
    <w:rsid w:val="00032EAA"/>
    <w:rsid w:val="000425DE"/>
    <w:rsid w:val="00057360"/>
    <w:rsid w:val="0005769C"/>
    <w:rsid w:val="00070423"/>
    <w:rsid w:val="000929F4"/>
    <w:rsid w:val="000A26AB"/>
    <w:rsid w:val="000D6F33"/>
    <w:rsid w:val="000F4DB7"/>
    <w:rsid w:val="001040B4"/>
    <w:rsid w:val="001122AA"/>
    <w:rsid w:val="00130538"/>
    <w:rsid w:val="00145189"/>
    <w:rsid w:val="001570DF"/>
    <w:rsid w:val="00166677"/>
    <w:rsid w:val="00172A73"/>
    <w:rsid w:val="00173FBC"/>
    <w:rsid w:val="00194357"/>
    <w:rsid w:val="001A3BF5"/>
    <w:rsid w:val="001B4842"/>
    <w:rsid w:val="001E4774"/>
    <w:rsid w:val="001E6847"/>
    <w:rsid w:val="001F0AA4"/>
    <w:rsid w:val="001F5423"/>
    <w:rsid w:val="00227370"/>
    <w:rsid w:val="00244E52"/>
    <w:rsid w:val="00252F3F"/>
    <w:rsid w:val="00264805"/>
    <w:rsid w:val="00276890"/>
    <w:rsid w:val="00287C74"/>
    <w:rsid w:val="002B1647"/>
    <w:rsid w:val="002B5E1B"/>
    <w:rsid w:val="002D1EA8"/>
    <w:rsid w:val="002D4767"/>
    <w:rsid w:val="002E5BB3"/>
    <w:rsid w:val="00300ED4"/>
    <w:rsid w:val="003218D5"/>
    <w:rsid w:val="003274CD"/>
    <w:rsid w:val="003331E1"/>
    <w:rsid w:val="00342FF8"/>
    <w:rsid w:val="003478AD"/>
    <w:rsid w:val="00360BED"/>
    <w:rsid w:val="003652EA"/>
    <w:rsid w:val="00380B6E"/>
    <w:rsid w:val="00380DF1"/>
    <w:rsid w:val="003A70D1"/>
    <w:rsid w:val="003C092F"/>
    <w:rsid w:val="003C5DD1"/>
    <w:rsid w:val="003D070D"/>
    <w:rsid w:val="003F0A75"/>
    <w:rsid w:val="0040730E"/>
    <w:rsid w:val="0041212A"/>
    <w:rsid w:val="004248AC"/>
    <w:rsid w:val="00432C89"/>
    <w:rsid w:val="00433449"/>
    <w:rsid w:val="00450F6A"/>
    <w:rsid w:val="00454945"/>
    <w:rsid w:val="00493038"/>
    <w:rsid w:val="004B1A5B"/>
    <w:rsid w:val="004B7D46"/>
    <w:rsid w:val="004C02DB"/>
    <w:rsid w:val="004E2199"/>
    <w:rsid w:val="004E224D"/>
    <w:rsid w:val="004E7F58"/>
    <w:rsid w:val="005008F8"/>
    <w:rsid w:val="00504A0F"/>
    <w:rsid w:val="0053319B"/>
    <w:rsid w:val="005350A5"/>
    <w:rsid w:val="00560BA4"/>
    <w:rsid w:val="00574992"/>
    <w:rsid w:val="00583CE5"/>
    <w:rsid w:val="005B1C85"/>
    <w:rsid w:val="005C4FE0"/>
    <w:rsid w:val="005C5B34"/>
    <w:rsid w:val="005D1EEA"/>
    <w:rsid w:val="005E34D9"/>
    <w:rsid w:val="005E5514"/>
    <w:rsid w:val="005F4B11"/>
    <w:rsid w:val="00614058"/>
    <w:rsid w:val="00615ECD"/>
    <w:rsid w:val="00641377"/>
    <w:rsid w:val="00657AB0"/>
    <w:rsid w:val="00667E0C"/>
    <w:rsid w:val="00673194"/>
    <w:rsid w:val="00677C5C"/>
    <w:rsid w:val="006862A2"/>
    <w:rsid w:val="00686726"/>
    <w:rsid w:val="00697961"/>
    <w:rsid w:val="006A791A"/>
    <w:rsid w:val="006D6009"/>
    <w:rsid w:val="006E7492"/>
    <w:rsid w:val="006E7CB3"/>
    <w:rsid w:val="006F57A3"/>
    <w:rsid w:val="00706644"/>
    <w:rsid w:val="00714DF0"/>
    <w:rsid w:val="007239D4"/>
    <w:rsid w:val="00760439"/>
    <w:rsid w:val="00773173"/>
    <w:rsid w:val="00786B50"/>
    <w:rsid w:val="007961C2"/>
    <w:rsid w:val="0079758E"/>
    <w:rsid w:val="007A667A"/>
    <w:rsid w:val="007D23F8"/>
    <w:rsid w:val="007D2F4F"/>
    <w:rsid w:val="007E0B79"/>
    <w:rsid w:val="007E3DB3"/>
    <w:rsid w:val="007E4A43"/>
    <w:rsid w:val="007E5D7E"/>
    <w:rsid w:val="007F2DC1"/>
    <w:rsid w:val="007F5306"/>
    <w:rsid w:val="00814662"/>
    <w:rsid w:val="00824CF9"/>
    <w:rsid w:val="00825742"/>
    <w:rsid w:val="0084015E"/>
    <w:rsid w:val="008457C7"/>
    <w:rsid w:val="00845C8B"/>
    <w:rsid w:val="00853B6A"/>
    <w:rsid w:val="00854118"/>
    <w:rsid w:val="00856B16"/>
    <w:rsid w:val="0086183D"/>
    <w:rsid w:val="008677E4"/>
    <w:rsid w:val="00895F08"/>
    <w:rsid w:val="008C6F71"/>
    <w:rsid w:val="008E691F"/>
    <w:rsid w:val="008F2AFF"/>
    <w:rsid w:val="008F4264"/>
    <w:rsid w:val="008F4A49"/>
    <w:rsid w:val="009006D4"/>
    <w:rsid w:val="009078BA"/>
    <w:rsid w:val="009171F7"/>
    <w:rsid w:val="00920EAB"/>
    <w:rsid w:val="00927360"/>
    <w:rsid w:val="00932A67"/>
    <w:rsid w:val="00957A1C"/>
    <w:rsid w:val="00962B11"/>
    <w:rsid w:val="00963B90"/>
    <w:rsid w:val="00963D5B"/>
    <w:rsid w:val="0097085F"/>
    <w:rsid w:val="00970B72"/>
    <w:rsid w:val="009842F7"/>
    <w:rsid w:val="00997397"/>
    <w:rsid w:val="009B3155"/>
    <w:rsid w:val="009D7F34"/>
    <w:rsid w:val="009E5976"/>
    <w:rsid w:val="009F66CE"/>
    <w:rsid w:val="009F6DEB"/>
    <w:rsid w:val="00A005E6"/>
    <w:rsid w:val="00A25ACE"/>
    <w:rsid w:val="00A57983"/>
    <w:rsid w:val="00AA2FB8"/>
    <w:rsid w:val="00AA67F3"/>
    <w:rsid w:val="00AA7454"/>
    <w:rsid w:val="00AC30D3"/>
    <w:rsid w:val="00AD638D"/>
    <w:rsid w:val="00AE4AAF"/>
    <w:rsid w:val="00AF09CE"/>
    <w:rsid w:val="00B24002"/>
    <w:rsid w:val="00B3623A"/>
    <w:rsid w:val="00B41933"/>
    <w:rsid w:val="00B42807"/>
    <w:rsid w:val="00B43BF1"/>
    <w:rsid w:val="00B46DF7"/>
    <w:rsid w:val="00B473DC"/>
    <w:rsid w:val="00B63615"/>
    <w:rsid w:val="00B77928"/>
    <w:rsid w:val="00B961A5"/>
    <w:rsid w:val="00BA3F21"/>
    <w:rsid w:val="00BA5E05"/>
    <w:rsid w:val="00BD52E5"/>
    <w:rsid w:val="00BD7BFF"/>
    <w:rsid w:val="00BE0827"/>
    <w:rsid w:val="00BE39AC"/>
    <w:rsid w:val="00BF7AEE"/>
    <w:rsid w:val="00C000DA"/>
    <w:rsid w:val="00C13818"/>
    <w:rsid w:val="00C15EAD"/>
    <w:rsid w:val="00C4142E"/>
    <w:rsid w:val="00C41A7F"/>
    <w:rsid w:val="00C4519D"/>
    <w:rsid w:val="00C46529"/>
    <w:rsid w:val="00C51D18"/>
    <w:rsid w:val="00C733E2"/>
    <w:rsid w:val="00CA22A7"/>
    <w:rsid w:val="00CB1BBA"/>
    <w:rsid w:val="00CE6161"/>
    <w:rsid w:val="00CE6AC3"/>
    <w:rsid w:val="00CE7EC8"/>
    <w:rsid w:val="00D00CA3"/>
    <w:rsid w:val="00D0338F"/>
    <w:rsid w:val="00D046EC"/>
    <w:rsid w:val="00D04A6C"/>
    <w:rsid w:val="00D15874"/>
    <w:rsid w:val="00D20620"/>
    <w:rsid w:val="00D219E8"/>
    <w:rsid w:val="00D56DEB"/>
    <w:rsid w:val="00D5775A"/>
    <w:rsid w:val="00D60690"/>
    <w:rsid w:val="00DA1A99"/>
    <w:rsid w:val="00DC40C4"/>
    <w:rsid w:val="00DC75E1"/>
    <w:rsid w:val="00DD192C"/>
    <w:rsid w:val="00E03FE4"/>
    <w:rsid w:val="00E07AB5"/>
    <w:rsid w:val="00E17F47"/>
    <w:rsid w:val="00E509AB"/>
    <w:rsid w:val="00E550D2"/>
    <w:rsid w:val="00E6025A"/>
    <w:rsid w:val="00E63E18"/>
    <w:rsid w:val="00E9176F"/>
    <w:rsid w:val="00E93E56"/>
    <w:rsid w:val="00EC67A9"/>
    <w:rsid w:val="00EE467C"/>
    <w:rsid w:val="00EE57C1"/>
    <w:rsid w:val="00F02816"/>
    <w:rsid w:val="00F05C53"/>
    <w:rsid w:val="00F428BA"/>
    <w:rsid w:val="00F4485D"/>
    <w:rsid w:val="00F563E9"/>
    <w:rsid w:val="00F6728B"/>
    <w:rsid w:val="00F77F2B"/>
    <w:rsid w:val="00F8170F"/>
    <w:rsid w:val="00FB048D"/>
    <w:rsid w:val="00FC4A55"/>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0F13A"/>
  <w15:chartTrackingRefBased/>
  <w15:docId w15:val="{2A090F7B-7245-4061-BC78-87ACC39D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3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character" w:styleId="Zwaar">
    <w:name w:val="Strong"/>
    <w:basedOn w:val="Standaardalinea-lettertype"/>
    <w:uiPriority w:val="22"/>
    <w:qFormat/>
    <w:rsid w:val="00AA2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lans.nl/waardewaaie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novatieroute.nu/" TargetMode="External"/><Relationship Id="rId7" Type="http://schemas.openxmlformats.org/officeDocument/2006/relationships/settings" Target="settings.xml"/><Relationship Id="rId12" Type="http://schemas.openxmlformats.org/officeDocument/2006/relationships/hyperlink" Target="https://www.kennispleingehandicaptensector.nl/tips-tools/tools/mini-health-technology-assessment-mini-hta"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lans.nl/wat-doen-we/projecten/consortium-waardebepalin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etenwatwerkt.n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zo.nu/methode/waardebepaling-en-evaluatie/" TargetMode="External"/><Relationship Id="rId22" Type="http://schemas.openxmlformats.org/officeDocument/2006/relationships/hyperlink" Target="https://creativecommons.org/licenses/by-nc-sa/4.0/deed.n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2.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3.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4.xml><?xml version="1.0" encoding="utf-8"?>
<ds:datastoreItem xmlns:ds="http://schemas.openxmlformats.org/officeDocument/2006/customXml" ds:itemID="{E204086F-B0FA-4F56-87F7-AA00E7FB6BA3}"/>
</file>

<file path=docProps/app.xml><?xml version="1.0" encoding="utf-8"?>
<Properties xmlns="http://schemas.openxmlformats.org/officeDocument/2006/extended-properties" xmlns:vt="http://schemas.openxmlformats.org/officeDocument/2006/docPropsVTypes">
  <Template>Word-sjabloon_Innovatie-impuls_Colofon kort</Template>
  <TotalTime>10</TotalTime>
  <Pages>7</Pages>
  <Words>2353</Words>
  <Characters>12944</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Stevens, Charlotte</cp:lastModifiedBy>
  <cp:revision>18</cp:revision>
  <cp:lastPrinted>2025-11-08T10:37:00Z</cp:lastPrinted>
  <dcterms:created xsi:type="dcterms:W3CDTF">2025-11-19T08:14:00Z</dcterms:created>
  <dcterms:modified xsi:type="dcterms:W3CDTF">2025-11-19T08:25:00Z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