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18F1" w14:textId="10CB24E0" w:rsidR="008F63FC" w:rsidRPr="002660C1" w:rsidRDefault="008F63FC" w:rsidP="00F92B8E">
      <w:pPr>
        <w:pStyle w:val="Overskrift2"/>
        <w:jc w:val="center"/>
        <w:rPr>
          <w:lang w:val="da-DK"/>
        </w:rPr>
      </w:pPr>
      <w:r w:rsidRPr="002660C1">
        <w:rPr>
          <w:lang w:val="da-DK"/>
        </w:rPr>
        <w:t>Videreudviklingsaftale vedr. e-TL</w:t>
      </w:r>
      <w:r w:rsidRPr="002660C1">
        <w:rPr>
          <w:lang w:val="da-DK"/>
        </w:rPr>
        <w:br/>
      </w:r>
      <w:r w:rsidRPr="002660C1">
        <w:rPr>
          <w:lang w:val="da-DK"/>
        </w:rPr>
        <w:br/>
        <w:t>VUA 2022-</w:t>
      </w:r>
      <w:r w:rsidR="004D29C9">
        <w:rPr>
          <w:lang w:val="da-DK"/>
        </w:rPr>
        <w:t>0</w:t>
      </w:r>
      <w:r w:rsidR="00756D7C">
        <w:rPr>
          <w:lang w:val="da-DK"/>
        </w:rPr>
        <w:t>15</w:t>
      </w:r>
      <w:r w:rsidRPr="002660C1">
        <w:rPr>
          <w:lang w:val="da-DK"/>
        </w:rPr>
        <w:t xml:space="preserve"> – </w:t>
      </w:r>
      <w:r w:rsidR="00756D7C" w:rsidRPr="00756D7C">
        <w:rPr>
          <w:lang w:val="da-DK"/>
        </w:rPr>
        <w:t>OCES III implementering</w:t>
      </w:r>
    </w:p>
    <w:p w14:paraId="2A5F93AB" w14:textId="77777777" w:rsidR="008F63FC" w:rsidRPr="00957049" w:rsidRDefault="008F63FC" w:rsidP="008F63FC">
      <w:pPr>
        <w:rPr>
          <w:lang w:val="da-DK" w:eastAsia="da-DK"/>
        </w:rPr>
      </w:pPr>
    </w:p>
    <w:p w14:paraId="2FB0D0DA" w14:textId="77777777" w:rsidR="008F63FC" w:rsidRPr="00F92B8E" w:rsidRDefault="008F63FC" w:rsidP="00F92B8E">
      <w:pPr>
        <w:pStyle w:val="Brdtekst"/>
        <w:spacing w:after="120"/>
        <w:jc w:val="center"/>
        <w:rPr>
          <w:i/>
          <w:iCs/>
          <w:lang w:val="da-DK"/>
        </w:rPr>
      </w:pPr>
      <w:bookmarkStart w:id="0" w:name="_Toc130814054"/>
      <w:r w:rsidRPr="00F92B8E">
        <w:rPr>
          <w:i/>
          <w:iCs/>
          <w:lang w:val="da-DK"/>
        </w:rPr>
        <w:t>Mellem</w:t>
      </w:r>
    </w:p>
    <w:p w14:paraId="2D490AD8" w14:textId="65F36F5F" w:rsidR="008F63FC" w:rsidRDefault="008F63FC" w:rsidP="00F26DA1">
      <w:pPr>
        <w:pStyle w:val="Brdtekst"/>
        <w:spacing w:before="0" w:after="120" w:line="240" w:lineRule="auto"/>
        <w:jc w:val="center"/>
        <w:rPr>
          <w:bCs/>
          <w:lang w:val="da-DK"/>
        </w:rPr>
      </w:pPr>
      <w:r w:rsidRPr="008F63FC">
        <w:rPr>
          <w:lang w:val="da-DK"/>
        </w:rPr>
        <w:t>Domstolsstyrelsen</w:t>
      </w:r>
      <w:r>
        <w:rPr>
          <w:lang w:val="da-DK"/>
        </w:rPr>
        <w:t>,</w:t>
      </w:r>
      <w:r w:rsidRPr="008F63FC">
        <w:rPr>
          <w:lang w:val="da-DK"/>
        </w:rPr>
        <w:t xml:space="preserve"> </w:t>
      </w:r>
      <w:r>
        <w:rPr>
          <w:bCs/>
          <w:lang w:val="da-DK"/>
        </w:rPr>
        <w:t xml:space="preserve">Store Kongensgade 1-3, 1264 København K, CVR </w:t>
      </w:r>
      <w:r w:rsidRPr="008F63FC">
        <w:rPr>
          <w:bCs/>
          <w:lang w:val="da-DK"/>
        </w:rPr>
        <w:t>21 65 95 09</w:t>
      </w:r>
      <w:r>
        <w:rPr>
          <w:bCs/>
          <w:lang w:val="da-DK"/>
        </w:rPr>
        <w:t xml:space="preserve"> (herefter </w:t>
      </w:r>
      <w:r w:rsidRPr="008F63FC"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6631DD87" w14:textId="0EDA3B76" w:rsidR="008F63FC" w:rsidRPr="00F92B8E" w:rsidRDefault="008F63FC" w:rsidP="00F92B8E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 w:rsidRPr="00F92B8E">
        <w:rPr>
          <w:bCs/>
          <w:i/>
          <w:iCs/>
          <w:lang w:val="da-DK"/>
        </w:rPr>
        <w:t>Og</w:t>
      </w:r>
    </w:p>
    <w:p w14:paraId="220C74D0" w14:textId="4B964368" w:rsidR="008F63FC" w:rsidRPr="0043229E" w:rsidRDefault="008F63FC" w:rsidP="00F26DA1">
      <w:pPr>
        <w:pStyle w:val="Brdtekst"/>
        <w:spacing w:before="0" w:after="120" w:line="240" w:lineRule="auto"/>
        <w:jc w:val="center"/>
        <w:rPr>
          <w:lang w:val="da-DK"/>
        </w:rPr>
      </w:pPr>
      <w:r w:rsidRPr="008F63FC">
        <w:rPr>
          <w:lang w:val="da-DK"/>
        </w:rPr>
        <w:t xml:space="preserve">Netcompany A/S, </w:t>
      </w:r>
      <w:r w:rsidRPr="0043229E">
        <w:rPr>
          <w:bCs/>
          <w:lang w:val="da-DK"/>
        </w:rPr>
        <w:t>Grønningen</w:t>
      </w:r>
      <w:r>
        <w:rPr>
          <w:bCs/>
          <w:lang w:val="da-DK"/>
        </w:rPr>
        <w:t xml:space="preserve"> 17, 1, 1270 København K</w:t>
      </w:r>
      <w:r w:rsidRPr="0043229E">
        <w:rPr>
          <w:bCs/>
          <w:lang w:val="da-DK"/>
        </w:rPr>
        <w:t xml:space="preserve">, </w:t>
      </w:r>
      <w:r>
        <w:rPr>
          <w:bCs/>
          <w:lang w:val="da-DK"/>
        </w:rPr>
        <w:t xml:space="preserve">CVR </w:t>
      </w:r>
      <w:r w:rsidRPr="008F63FC">
        <w:rPr>
          <w:bCs/>
          <w:lang w:val="da-DK"/>
        </w:rPr>
        <w:t>14814833</w:t>
      </w:r>
      <w:r w:rsidRPr="0043229E">
        <w:rPr>
          <w:bCs/>
          <w:lang w:val="da-DK"/>
        </w:rPr>
        <w:t xml:space="preserve"> (herefter</w:t>
      </w:r>
      <w:r>
        <w:rPr>
          <w:bCs/>
          <w:lang w:val="da-DK"/>
        </w:rPr>
        <w:t xml:space="preserve"> </w:t>
      </w:r>
      <w:r w:rsidRPr="008F63FC">
        <w:rPr>
          <w:b/>
          <w:lang w:val="da-DK"/>
        </w:rPr>
        <w:t>Leverandøren</w:t>
      </w:r>
      <w:r w:rsidRPr="0043229E">
        <w:rPr>
          <w:bCs/>
          <w:lang w:val="da-DK"/>
        </w:rPr>
        <w:t>)</w:t>
      </w:r>
      <w:bookmarkEnd w:id="0"/>
    </w:p>
    <w:p w14:paraId="0DF55617" w14:textId="3BFFC77E" w:rsidR="000B7CC4" w:rsidRPr="00C962FB" w:rsidRDefault="000B7CC4" w:rsidP="000B7CC4">
      <w:pPr>
        <w:pStyle w:val="Overskrift2"/>
        <w:rPr>
          <w:lang w:val="da-DK"/>
        </w:rPr>
      </w:pPr>
      <w:r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3145"/>
        <w:gridCol w:w="2796"/>
        <w:gridCol w:w="2097"/>
        <w:gridCol w:w="2679"/>
      </w:tblGrid>
      <w:tr w:rsidR="008F63FC" w:rsidRPr="002B0D99" w14:paraId="7A7ED7AF" w14:textId="77777777" w:rsidTr="00D407D3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7A34B51" w14:textId="77442B25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Pr="00C962FB">
              <w:rPr>
                <w:b/>
                <w:lang w:val="da-DK"/>
              </w:rPr>
              <w:t>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6DF" w14:textId="5C41EDDB" w:rsidR="008F63FC" w:rsidRPr="008F7B2A" w:rsidRDefault="002417D8" w:rsidP="00D407D3">
            <w:pPr>
              <w:spacing w:after="60"/>
              <w:rPr>
                <w:lang w:val="da-DK"/>
              </w:rPr>
            </w:pPr>
            <w:r w:rsidRPr="002417D8">
              <w:rPr>
                <w:lang w:val="da-DK"/>
              </w:rPr>
              <w:t xml:space="preserve">VUA </w:t>
            </w:r>
            <w:r w:rsidR="007E7589">
              <w:rPr>
                <w:lang w:val="da-DK"/>
              </w:rPr>
              <w:t>2022</w:t>
            </w:r>
            <w:r w:rsidR="002C4307">
              <w:rPr>
                <w:lang w:val="da-DK"/>
              </w:rPr>
              <w:t>-</w:t>
            </w:r>
            <w:r w:rsidR="004D29C9">
              <w:rPr>
                <w:lang w:val="da-DK"/>
              </w:rPr>
              <w:t>0</w:t>
            </w:r>
            <w:r w:rsidR="00756D7C">
              <w:rPr>
                <w:lang w:val="da-DK"/>
              </w:rPr>
              <w:t>15</w:t>
            </w:r>
          </w:p>
        </w:tc>
      </w:tr>
      <w:tr w:rsidR="008F63FC" w:rsidRPr="00B0097B" w14:paraId="611D4021" w14:textId="77777777" w:rsidTr="00D407D3">
        <w:trPr>
          <w:trHeight w:val="20"/>
        </w:trPr>
        <w:tc>
          <w:tcPr>
            <w:tcW w:w="1320" w:type="pct"/>
          </w:tcPr>
          <w:p w14:paraId="7AEF972A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>
              <w:rPr>
                <w:b/>
                <w:lang w:val="da-DK"/>
              </w:rPr>
              <w:t>ændringen</w:t>
            </w:r>
          </w:p>
        </w:tc>
        <w:tc>
          <w:tcPr>
            <w:tcW w:w="3680" w:type="pct"/>
            <w:gridSpan w:val="4"/>
          </w:tcPr>
          <w:p w14:paraId="54872EDA" w14:textId="5AD0840D" w:rsidR="0081530A" w:rsidRPr="001A2A29" w:rsidRDefault="00350CD4" w:rsidP="00D407D3">
            <w:pPr>
              <w:spacing w:after="6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Leverandøren foretager de påkrævede ændringer i e-</w:t>
            </w:r>
            <w:proofErr w:type="gramStart"/>
            <w:r>
              <w:rPr>
                <w:szCs w:val="20"/>
                <w:lang w:val="da-DK"/>
              </w:rPr>
              <w:t>TL koden</w:t>
            </w:r>
            <w:proofErr w:type="gramEnd"/>
            <w:r>
              <w:rPr>
                <w:szCs w:val="20"/>
                <w:lang w:val="da-DK"/>
              </w:rPr>
              <w:t xml:space="preserve"> og i infrastrukturen samt varetager overgangen, således at gener ved overgangen til OCES III for professionelle s2s aktører og andre brugere af tinglysningen bliver mindst mulige</w:t>
            </w:r>
          </w:p>
        </w:tc>
      </w:tr>
      <w:tr w:rsidR="008F63FC" w:rsidRPr="00C7077A" w14:paraId="410A8756" w14:textId="77777777" w:rsidTr="00D407D3">
        <w:trPr>
          <w:trHeight w:val="20"/>
        </w:trPr>
        <w:tc>
          <w:tcPr>
            <w:tcW w:w="1320" w:type="pct"/>
          </w:tcPr>
          <w:p w14:paraId="610DFDF9" w14:textId="0BE4E577" w:rsidR="008F63FC" w:rsidRPr="00C962FB" w:rsidRDefault="008F63FC" w:rsidP="00485CCA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Vurdering af konsekvens for drift </w:t>
            </w:r>
          </w:p>
        </w:tc>
        <w:tc>
          <w:tcPr>
            <w:tcW w:w="3680" w:type="pct"/>
            <w:gridSpan w:val="4"/>
          </w:tcPr>
          <w:p w14:paraId="54EB7ADA" w14:textId="77777777" w:rsidR="008F63FC" w:rsidRDefault="00350CD4" w:rsidP="00D407D3">
            <w:pPr>
              <w:spacing w:after="60"/>
              <w:rPr>
                <w:bCs/>
                <w:lang w:val="da-DK"/>
              </w:rPr>
            </w:pPr>
            <w:r w:rsidRPr="00350CD4">
              <w:rPr>
                <w:bCs/>
                <w:lang w:val="da-DK"/>
              </w:rPr>
              <w:t>En man</w:t>
            </w:r>
            <w:r>
              <w:rPr>
                <w:bCs/>
                <w:lang w:val="da-DK"/>
              </w:rPr>
              <w:t xml:space="preserve">glende eller fejlbehæftet understøttelse af OCES III d. 30. juni 2023 vil </w:t>
            </w:r>
            <w:r w:rsidR="00164446">
              <w:rPr>
                <w:bCs/>
                <w:lang w:val="da-DK"/>
              </w:rPr>
              <w:t>få den klare konsekvens</w:t>
            </w:r>
            <w:r>
              <w:rPr>
                <w:bCs/>
                <w:lang w:val="da-DK"/>
              </w:rPr>
              <w:t>, at e-TL vil være utilgængelig</w:t>
            </w:r>
            <w:r w:rsidR="00164446">
              <w:rPr>
                <w:bCs/>
                <w:lang w:val="da-DK"/>
              </w:rPr>
              <w:t xml:space="preserve"> derved, at der hverken vil kunne</w:t>
            </w:r>
            <w:r>
              <w:rPr>
                <w:bCs/>
                <w:lang w:val="da-DK"/>
              </w:rPr>
              <w:t xml:space="preserve"> signeres</w:t>
            </w:r>
            <w:r w:rsidR="00164446">
              <w:rPr>
                <w:bCs/>
                <w:lang w:val="da-DK"/>
              </w:rPr>
              <w:t xml:space="preserve">, </w:t>
            </w:r>
            <w:r>
              <w:rPr>
                <w:bCs/>
                <w:lang w:val="da-DK"/>
              </w:rPr>
              <w:t xml:space="preserve">anmeldes </w:t>
            </w:r>
            <w:r w:rsidR="00164446">
              <w:rPr>
                <w:bCs/>
                <w:lang w:val="da-DK"/>
              </w:rPr>
              <w:t>eller forespørges mv. via s2s.</w:t>
            </w:r>
          </w:p>
          <w:p w14:paraId="6425F5AB" w14:textId="22D6F43D" w:rsidR="00D22BFF" w:rsidRDefault="00D22BFF" w:rsidP="00D407D3">
            <w:pPr>
              <w:spacing w:after="60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OCES III certifikater har en længere bitlængde, hvilket alt andet lige vil føre til øget CPU</w:t>
            </w:r>
            <w:r w:rsidR="00371887">
              <w:rPr>
                <w:bCs/>
                <w:lang w:val="da-DK"/>
              </w:rPr>
              <w:t>-</w:t>
            </w:r>
            <w:r>
              <w:rPr>
                <w:bCs/>
                <w:lang w:val="da-DK"/>
              </w:rPr>
              <w:t xml:space="preserve">forbrug </w:t>
            </w:r>
            <w:r w:rsidR="00240270">
              <w:rPr>
                <w:bCs/>
                <w:lang w:val="da-DK"/>
              </w:rPr>
              <w:t xml:space="preserve">på </w:t>
            </w:r>
            <w:proofErr w:type="spellStart"/>
            <w:r w:rsidR="00240270">
              <w:rPr>
                <w:bCs/>
                <w:lang w:val="da-DK"/>
              </w:rPr>
              <w:t>webservere</w:t>
            </w:r>
            <w:proofErr w:type="spellEnd"/>
            <w:r w:rsidR="00240270">
              <w:rPr>
                <w:bCs/>
                <w:lang w:val="da-DK"/>
              </w:rPr>
              <w:t xml:space="preserve"> </w:t>
            </w:r>
            <w:r w:rsidR="004B0266">
              <w:rPr>
                <w:bCs/>
                <w:lang w:val="da-DK"/>
              </w:rPr>
              <w:t xml:space="preserve">bl.a. under </w:t>
            </w:r>
            <w:proofErr w:type="spellStart"/>
            <w:r>
              <w:rPr>
                <w:bCs/>
                <w:lang w:val="da-DK"/>
              </w:rPr>
              <w:t>handshake</w:t>
            </w:r>
            <w:proofErr w:type="spellEnd"/>
            <w:r w:rsidR="004B0266">
              <w:rPr>
                <w:bCs/>
                <w:lang w:val="da-DK"/>
              </w:rPr>
              <w:t>.</w:t>
            </w:r>
          </w:p>
          <w:p w14:paraId="3C37BAEA" w14:textId="48CA1719" w:rsidR="004B0266" w:rsidRPr="00350CD4" w:rsidRDefault="004B0266" w:rsidP="00D407D3">
            <w:pPr>
              <w:spacing w:after="60"/>
              <w:rPr>
                <w:bCs/>
                <w:lang w:val="da-DK"/>
              </w:rPr>
            </w:pPr>
          </w:p>
        </w:tc>
      </w:tr>
      <w:tr w:rsidR="008F63FC" w:rsidRPr="00CA0224" w14:paraId="235F9F37" w14:textId="77777777" w:rsidTr="0089290A">
        <w:trPr>
          <w:trHeight w:val="20"/>
        </w:trPr>
        <w:tc>
          <w:tcPr>
            <w:tcW w:w="1320" w:type="pct"/>
          </w:tcPr>
          <w:p w14:paraId="4BF6D066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56A5B0F2" w14:textId="180F08AA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Tinglysning.dk: </w:t>
            </w:r>
            <w:r w:rsidR="00897A1B">
              <w:rPr>
                <w:lang w:val="da-DK"/>
              </w:rPr>
              <w:t>X</w:t>
            </w:r>
            <w:r>
              <w:rPr>
                <w:lang w:val="da-DK"/>
              </w:rPr>
              <w:t xml:space="preserve"> </w:t>
            </w:r>
          </w:p>
        </w:tc>
        <w:tc>
          <w:tcPr>
            <w:tcW w:w="960" w:type="pct"/>
          </w:tcPr>
          <w:p w14:paraId="2D82103A" w14:textId="7CBDCA83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  <w:r w:rsidR="00897A1B">
              <w:rPr>
                <w:lang w:val="da-DK"/>
              </w:rPr>
              <w:t>X</w:t>
            </w:r>
          </w:p>
        </w:tc>
        <w:tc>
          <w:tcPr>
            <w:tcW w:w="720" w:type="pct"/>
          </w:tcPr>
          <w:p w14:paraId="71B55284" w14:textId="1AC14928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897A1B">
              <w:rPr>
                <w:lang w:val="da-DK"/>
              </w:rPr>
              <w:t xml:space="preserve"> X</w:t>
            </w:r>
            <w:r>
              <w:rPr>
                <w:lang w:val="da-DK"/>
              </w:rPr>
              <w:t xml:space="preserve"> </w:t>
            </w:r>
          </w:p>
        </w:tc>
        <w:tc>
          <w:tcPr>
            <w:tcW w:w="920" w:type="pct"/>
          </w:tcPr>
          <w:p w14:paraId="542B7CCD" w14:textId="5F6757FD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  <w:r w:rsidR="000E3BEF">
              <w:rPr>
                <w:lang w:val="da-DK"/>
              </w:rPr>
              <w:t xml:space="preserve"> </w:t>
            </w:r>
          </w:p>
        </w:tc>
      </w:tr>
    </w:tbl>
    <w:p w14:paraId="0CA36F2F" w14:textId="377F0E15" w:rsidR="007D3935" w:rsidRDefault="007D39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14560"/>
      </w:tblGrid>
      <w:tr w:rsidR="00F26DA1" w:rsidRPr="00C7077A" w14:paraId="33C8E6F4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698BD074" w14:textId="4A968CC6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szCs w:val="20"/>
                <w:lang w:val="da-DK"/>
              </w:rPr>
              <w:br w:type="page"/>
            </w:r>
            <w:r w:rsidRPr="0081530A">
              <w:rPr>
                <w:b/>
                <w:szCs w:val="20"/>
                <w:lang w:val="da-DK"/>
              </w:rPr>
              <w:t>Kundens krav og beskrivelse af de forretningsmæssige ændringer</w:t>
            </w:r>
          </w:p>
        </w:tc>
      </w:tr>
      <w:tr w:rsidR="00F26DA1" w:rsidRPr="00B0097B" w14:paraId="3FA71880" w14:textId="77777777" w:rsidTr="00D407D3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24CC682E" w14:textId="212D228E" w:rsidR="00664304" w:rsidRDefault="005F21B5" w:rsidP="00D407D3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Baggrunden for denne VUA er, at</w:t>
            </w:r>
            <w:r w:rsidR="00664304">
              <w:rPr>
                <w:sz w:val="20"/>
                <w:szCs w:val="20"/>
                <w:lang w:val="da-DK"/>
              </w:rPr>
              <w:t xml:space="preserve"> Digitaliseringsstyrelsen og Nets i forbindelse med </w:t>
            </w:r>
            <w:r w:rsidR="002D59F8">
              <w:rPr>
                <w:sz w:val="20"/>
                <w:szCs w:val="20"/>
                <w:lang w:val="da-DK"/>
              </w:rPr>
              <w:t>nedlukningen af NemID og overgangen</w:t>
            </w:r>
            <w:r w:rsidR="00664304">
              <w:rPr>
                <w:sz w:val="20"/>
                <w:szCs w:val="20"/>
                <w:lang w:val="da-DK"/>
              </w:rPr>
              <w:t xml:space="preserve"> til </w:t>
            </w:r>
            <w:proofErr w:type="spellStart"/>
            <w:r w:rsidR="00664304">
              <w:rPr>
                <w:sz w:val="20"/>
                <w:szCs w:val="20"/>
                <w:lang w:val="da-DK"/>
              </w:rPr>
              <w:t>MitID</w:t>
            </w:r>
            <w:proofErr w:type="spellEnd"/>
            <w:r w:rsidR="00664304">
              <w:rPr>
                <w:sz w:val="20"/>
                <w:szCs w:val="20"/>
                <w:lang w:val="da-DK"/>
              </w:rPr>
              <w:t xml:space="preserve"> Erhver</w:t>
            </w:r>
            <w:r w:rsidR="002D59F8">
              <w:rPr>
                <w:sz w:val="20"/>
                <w:szCs w:val="20"/>
                <w:lang w:val="da-DK"/>
              </w:rPr>
              <w:t xml:space="preserve">v går over på </w:t>
            </w:r>
            <w:r w:rsidR="00664304">
              <w:rPr>
                <w:sz w:val="20"/>
                <w:szCs w:val="20"/>
                <w:lang w:val="da-DK"/>
              </w:rPr>
              <w:t xml:space="preserve">den nye OCES III infrastruktur. Dette indebærer en nedlukning </w:t>
            </w:r>
            <w:r w:rsidR="002D59F8">
              <w:rPr>
                <w:sz w:val="20"/>
                <w:szCs w:val="20"/>
                <w:lang w:val="da-DK"/>
              </w:rPr>
              <w:t xml:space="preserve">af </w:t>
            </w:r>
            <w:r w:rsidR="00664304">
              <w:rPr>
                <w:sz w:val="20"/>
                <w:szCs w:val="20"/>
                <w:lang w:val="da-DK"/>
              </w:rPr>
              <w:t>OCES II</w:t>
            </w:r>
            <w:r w:rsidR="00242EF8">
              <w:rPr>
                <w:sz w:val="20"/>
                <w:szCs w:val="20"/>
                <w:lang w:val="da-DK"/>
              </w:rPr>
              <w:t xml:space="preserve">, hvilket sker </w:t>
            </w:r>
            <w:r w:rsidR="00664304">
              <w:rPr>
                <w:sz w:val="20"/>
                <w:szCs w:val="20"/>
                <w:lang w:val="da-DK"/>
              </w:rPr>
              <w:t>d. 30. juni 2023</w:t>
            </w:r>
            <w:r w:rsidR="005E7151">
              <w:rPr>
                <w:sz w:val="20"/>
                <w:szCs w:val="20"/>
                <w:lang w:val="da-DK"/>
              </w:rPr>
              <w:t xml:space="preserve"> (herefter Skæringsdagen)</w:t>
            </w:r>
            <w:r w:rsidR="00664304">
              <w:rPr>
                <w:sz w:val="20"/>
                <w:szCs w:val="20"/>
                <w:lang w:val="da-DK"/>
              </w:rPr>
              <w:t>, hvor OCES II certifikater bliver spærre</w:t>
            </w:r>
            <w:r w:rsidR="00242EF8">
              <w:rPr>
                <w:sz w:val="20"/>
                <w:szCs w:val="20"/>
                <w:lang w:val="da-DK"/>
              </w:rPr>
              <w:t>de</w:t>
            </w:r>
            <w:r w:rsidR="002D59F8">
              <w:rPr>
                <w:sz w:val="20"/>
                <w:szCs w:val="20"/>
                <w:lang w:val="da-DK"/>
              </w:rPr>
              <w:t>.</w:t>
            </w:r>
          </w:p>
          <w:p w14:paraId="675EEC96" w14:textId="3F715DB0" w:rsidR="00897A1B" w:rsidRPr="0081530A" w:rsidRDefault="00D7181C" w:rsidP="00A236B6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lastRenderedPageBreak/>
              <w:t xml:space="preserve">Kunden beder Leverandøren foretage de påkrævede ændringer i </w:t>
            </w:r>
            <w:r w:rsidR="0000799E">
              <w:rPr>
                <w:sz w:val="20"/>
                <w:szCs w:val="20"/>
                <w:lang w:val="da-DK"/>
              </w:rPr>
              <w:t>e-</w:t>
            </w:r>
            <w:proofErr w:type="gramStart"/>
            <w:r w:rsidR="0000799E">
              <w:rPr>
                <w:sz w:val="20"/>
                <w:szCs w:val="20"/>
                <w:lang w:val="da-DK"/>
              </w:rPr>
              <w:t xml:space="preserve">TL </w:t>
            </w:r>
            <w:r>
              <w:rPr>
                <w:sz w:val="20"/>
                <w:szCs w:val="20"/>
                <w:lang w:val="da-DK"/>
              </w:rPr>
              <w:t>koden</w:t>
            </w:r>
            <w:proofErr w:type="gramEnd"/>
            <w:r>
              <w:rPr>
                <w:sz w:val="20"/>
                <w:szCs w:val="20"/>
                <w:lang w:val="da-DK"/>
              </w:rPr>
              <w:t xml:space="preserve"> og i infrastrukturen samt varetage overgangen, således at gener </w:t>
            </w:r>
            <w:r w:rsidR="00350CD4">
              <w:rPr>
                <w:sz w:val="20"/>
                <w:szCs w:val="20"/>
                <w:lang w:val="da-DK"/>
              </w:rPr>
              <w:t>ved overgangen til OCES III</w:t>
            </w:r>
            <w:r w:rsidR="00A236B6">
              <w:rPr>
                <w:sz w:val="20"/>
                <w:szCs w:val="20"/>
                <w:lang w:val="da-DK"/>
              </w:rPr>
              <w:t xml:space="preserve"> vedr. e-TL</w:t>
            </w:r>
            <w:r w:rsidR="00350CD4">
              <w:rPr>
                <w:sz w:val="20"/>
                <w:szCs w:val="20"/>
                <w:lang w:val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>for professionelle s2s aktører og andre brugere af tinglysningen bliver mindst mulige.</w:t>
            </w:r>
          </w:p>
        </w:tc>
      </w:tr>
      <w:tr w:rsidR="00F26DA1" w:rsidRPr="0081530A" w14:paraId="737536B1" w14:textId="77777777" w:rsidTr="00D407D3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F2147" w:themeFill="text1"/>
          </w:tcPr>
          <w:p w14:paraId="0863B075" w14:textId="04171AC8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b/>
                <w:szCs w:val="20"/>
                <w:lang w:val="da-DK"/>
              </w:rPr>
              <w:lastRenderedPageBreak/>
              <w:t>Leverandørens løsningsbeskrivelse</w:t>
            </w:r>
          </w:p>
        </w:tc>
      </w:tr>
      <w:tr w:rsidR="00F26DA1" w:rsidRPr="00C7077A" w14:paraId="2EB0CB25" w14:textId="77777777" w:rsidTr="00D407D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E90" w14:textId="3D6A7D1F" w:rsidR="00F15805" w:rsidRDefault="00F15805" w:rsidP="00F15805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Implementeringsmæssigt skal vi sikre;</w:t>
            </w:r>
          </w:p>
          <w:p w14:paraId="4B590F20" w14:textId="6675E496" w:rsidR="00F15805" w:rsidRDefault="00F15805" w:rsidP="00F15805">
            <w:pPr>
              <w:pStyle w:val="NormalWeb"/>
              <w:numPr>
                <w:ilvl w:val="0"/>
                <w:numId w:val="26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at e-TL på applikationsniveau indgående understøtter OCES III signaturer og parser certifikaterne iht. den nye OCES III certifikatstruktur. </w:t>
            </w:r>
          </w:p>
          <w:p w14:paraId="32A61F5C" w14:textId="77777777" w:rsidR="00F15805" w:rsidRDefault="00F15805" w:rsidP="00F15805">
            <w:pPr>
              <w:pStyle w:val="NormalWeb"/>
              <w:numPr>
                <w:ilvl w:val="0"/>
                <w:numId w:val="26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at en anmeldelse med en OCES II signatur, der var gyldig på tidspunktet for underskriften, ikke afvises af e-TL som følge af overgangen til OCES III i det scenarie, at anmeldelsen først foretages efter Skæringsdagen </w:t>
            </w:r>
          </w:p>
          <w:p w14:paraId="6F64AB3F" w14:textId="77777777" w:rsidR="00F15805" w:rsidRDefault="00F15805" w:rsidP="00F15805">
            <w:pPr>
              <w:pStyle w:val="NormalWeb"/>
              <w:numPr>
                <w:ilvl w:val="0"/>
                <w:numId w:val="26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at e-TL på infrastrukturniveau understøtter OCES III signaturer herunder trust til nyt rodcertifikat samt påkrævede firewallåbninger såsom til spærrelister</w:t>
            </w:r>
          </w:p>
          <w:p w14:paraId="040A8095" w14:textId="77777777" w:rsidR="00F15805" w:rsidRDefault="00F15805" w:rsidP="00F15805">
            <w:pPr>
              <w:pStyle w:val="NormalWeb"/>
              <w:numPr>
                <w:ilvl w:val="0"/>
                <w:numId w:val="26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at e-TL i en nærmere bestemt periode iht. en tidsplan parallelt understøtter både OCES II og OCES III</w:t>
            </w:r>
          </w:p>
          <w:p w14:paraId="21F38ECD" w14:textId="77777777" w:rsidR="00F15805" w:rsidRDefault="00F15805" w:rsidP="00F15805">
            <w:pPr>
              <w:pStyle w:val="NormalWeb"/>
              <w:numPr>
                <w:ilvl w:val="0"/>
                <w:numId w:val="26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at e-TL på et i forvejen annonceret, fast tidspunkt iht. tidsplanen udgående går over til at signere med OCES III</w:t>
            </w:r>
          </w:p>
          <w:p w14:paraId="17BA0A91" w14:textId="77777777" w:rsidR="00F15805" w:rsidRDefault="00F15805" w:rsidP="00F15805">
            <w:pPr>
              <w:pStyle w:val="NormalWeb"/>
              <w:numPr>
                <w:ilvl w:val="0"/>
                <w:numId w:val="26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at NemID valgmuligheder fjernes fra e-TL brugerfladen efter Skæringsdagen</w:t>
            </w:r>
          </w:p>
          <w:p w14:paraId="57342A13" w14:textId="25F7A370" w:rsidR="00F15805" w:rsidRDefault="00F15805" w:rsidP="00F15805">
            <w:pPr>
              <w:pStyle w:val="NormalWeb"/>
              <w:numPr>
                <w:ilvl w:val="0"/>
                <w:numId w:val="26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at der ryddes op i koden for OCES II, og at dette </w:t>
            </w:r>
            <w:proofErr w:type="spellStart"/>
            <w:r>
              <w:rPr>
                <w:sz w:val="20"/>
                <w:szCs w:val="20"/>
                <w:lang w:val="da-DK"/>
              </w:rPr>
              <w:t>deployes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kort efter Skæringsdatoen</w:t>
            </w:r>
          </w:p>
          <w:p w14:paraId="2845CBF7" w14:textId="12255EDA" w:rsidR="004A7B1D" w:rsidRDefault="004A7B1D" w:rsidP="00F15805">
            <w:pPr>
              <w:pStyle w:val="NormalWeb"/>
              <w:numPr>
                <w:ilvl w:val="0"/>
                <w:numId w:val="26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at upload via RID funktionaliteten på a</w:t>
            </w:r>
            <w:r w:rsidRPr="004A7B1D">
              <w:rPr>
                <w:sz w:val="20"/>
                <w:szCs w:val="20"/>
                <w:lang w:val="da-DK"/>
              </w:rPr>
              <w:t>dministrationsdelen på tinglysning.dk</w:t>
            </w:r>
            <w:r>
              <w:rPr>
                <w:sz w:val="20"/>
                <w:szCs w:val="20"/>
                <w:lang w:val="da-DK"/>
              </w:rPr>
              <w:t xml:space="preserve"> fjernes</w:t>
            </w:r>
          </w:p>
          <w:p w14:paraId="073F0D19" w14:textId="77777777" w:rsidR="00F15805" w:rsidRDefault="00F15805" w:rsidP="00F15805">
            <w:pPr>
              <w:pStyle w:val="NormalWeb"/>
              <w:numPr>
                <w:ilvl w:val="0"/>
                <w:numId w:val="26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at firewall åbninger til CRL lister mv. for OCES II lukkes kort efter Skæringsdagen</w:t>
            </w:r>
          </w:p>
          <w:p w14:paraId="18E624AB" w14:textId="77777777" w:rsidR="00F15805" w:rsidRDefault="00F15805" w:rsidP="00F15805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</w:p>
          <w:p w14:paraId="50196A85" w14:textId="3027BB54" w:rsidR="00F15805" w:rsidRDefault="00F15805" w:rsidP="00F15805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Og procesmæssigt skal vi;</w:t>
            </w:r>
          </w:p>
          <w:p w14:paraId="7A184535" w14:textId="7F473581" w:rsidR="00F15805" w:rsidRDefault="00F15805" w:rsidP="00F15805">
            <w:pPr>
              <w:pStyle w:val="NormalWeb"/>
              <w:numPr>
                <w:ilvl w:val="0"/>
                <w:numId w:val="27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være den drivende part i håndteringen af overgangen, </w:t>
            </w:r>
            <w:proofErr w:type="gramStart"/>
            <w:r>
              <w:rPr>
                <w:sz w:val="20"/>
                <w:szCs w:val="20"/>
                <w:lang w:val="da-DK"/>
              </w:rPr>
              <w:t>således at</w:t>
            </w:r>
            <w:proofErr w:type="gramEnd"/>
            <w:r>
              <w:rPr>
                <w:sz w:val="20"/>
                <w:szCs w:val="20"/>
                <w:lang w:val="da-DK"/>
              </w:rPr>
              <w:t xml:space="preserve"> TLR kan fokusere på kommunikation til relevante interessenter samt bidrage med test</w:t>
            </w:r>
          </w:p>
          <w:p w14:paraId="69DCA3DA" w14:textId="01FE7FFB" w:rsidR="008B6B1D" w:rsidRDefault="008B6B1D" w:rsidP="00F15805">
            <w:pPr>
              <w:pStyle w:val="NormalWeb"/>
              <w:numPr>
                <w:ilvl w:val="0"/>
                <w:numId w:val="27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oprette de test-identiteter i </w:t>
            </w:r>
            <w:proofErr w:type="spellStart"/>
            <w:r>
              <w:rPr>
                <w:sz w:val="20"/>
                <w:szCs w:val="20"/>
                <w:lang w:val="da-DK"/>
              </w:rPr>
              <w:t>Nemlogins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præ-produktionsmiljøet, vi selv og TLR har brug for, samt assistere og støtte TLR i</w:t>
            </w:r>
            <w:r w:rsidR="00134DE4">
              <w:rPr>
                <w:sz w:val="20"/>
                <w:szCs w:val="20"/>
                <w:lang w:val="da-DK"/>
              </w:rPr>
              <w:t xml:space="preserve"> administration af testorganisationer mv. i</w:t>
            </w:r>
            <w:r>
              <w:rPr>
                <w:sz w:val="20"/>
                <w:szCs w:val="20"/>
                <w:lang w:val="da-DK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a-DK"/>
              </w:rPr>
              <w:t>Nemlogins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præ-produktionsmiljø</w:t>
            </w:r>
          </w:p>
          <w:p w14:paraId="57E140FF" w14:textId="7FB1A94D" w:rsidR="00F15805" w:rsidRDefault="00F15805" w:rsidP="00F15805">
            <w:pPr>
              <w:pStyle w:val="NormalWeb"/>
              <w:numPr>
                <w:ilvl w:val="0"/>
                <w:numId w:val="27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have et beredskab på Skæringsdagen og dagen efter til at håndtere eventuelle uforudsete problemer</w:t>
            </w:r>
          </w:p>
          <w:p w14:paraId="77876AFF" w14:textId="1A2F8982" w:rsidR="00334298" w:rsidRDefault="00F15805" w:rsidP="00F70AC6">
            <w:pPr>
              <w:pStyle w:val="NormalWeb"/>
              <w:numPr>
                <w:ilvl w:val="0"/>
                <w:numId w:val="27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334298">
              <w:rPr>
                <w:sz w:val="20"/>
                <w:szCs w:val="20"/>
                <w:lang w:val="da-DK"/>
              </w:rPr>
              <w:t>måle/estimere på testmiljø, hvad det forventede øgede CPU forbrug som følge af den længere certifikat bitlænge vil have a praktisk betydning og på den baggrund vurdere, om der skal foretages kapacitetsmæssige justeringer</w:t>
            </w:r>
          </w:p>
          <w:p w14:paraId="72101C30" w14:textId="77777777" w:rsidR="009C6C0D" w:rsidRDefault="00334298" w:rsidP="00334298">
            <w:pPr>
              <w:pStyle w:val="NormalWeb"/>
              <w:numPr>
                <w:ilvl w:val="0"/>
                <w:numId w:val="27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g</w:t>
            </w:r>
            <w:r w:rsidR="00F15805" w:rsidRPr="00334298">
              <w:rPr>
                <w:sz w:val="20"/>
                <w:szCs w:val="20"/>
                <w:lang w:val="da-DK"/>
              </w:rPr>
              <w:t>ennemgå integrationer/batch-job for, hvorvidt nogle er påvirkede af overgangen,</w:t>
            </w:r>
            <w:r w:rsidRPr="00334298">
              <w:rPr>
                <w:sz w:val="20"/>
                <w:szCs w:val="20"/>
                <w:lang w:val="da-DK"/>
              </w:rPr>
              <w:t xml:space="preserve"> hvilket navnlig forventes, hvor der anvendes klientcertifikater,</w:t>
            </w:r>
            <w:r w:rsidR="00F15805" w:rsidRPr="00334298">
              <w:rPr>
                <w:sz w:val="20"/>
                <w:szCs w:val="20"/>
                <w:lang w:val="da-DK"/>
              </w:rPr>
              <w:t xml:space="preserve"> og i så fald håndtere overgangen for disse og herunder koordinere med integrationspartneren</w:t>
            </w:r>
          </w:p>
          <w:p w14:paraId="7D57DC71" w14:textId="0202C8D5" w:rsidR="000D5966" w:rsidRPr="0081530A" w:rsidRDefault="000D5966" w:rsidP="00334298">
            <w:pPr>
              <w:pStyle w:val="NormalWeb"/>
              <w:numPr>
                <w:ilvl w:val="0"/>
                <w:numId w:val="27"/>
              </w:numPr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lastRenderedPageBreak/>
              <w:t>sikre at den eksterne brugerstyring fortsat fungerer under og efter overgangen til OCES III</w:t>
            </w:r>
          </w:p>
        </w:tc>
      </w:tr>
      <w:tr w:rsidR="00F26DA1" w:rsidRPr="0081530A" w14:paraId="4394E076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31667B4C" w14:textId="587883D0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b/>
                <w:szCs w:val="20"/>
                <w:lang w:val="da-DK"/>
              </w:rPr>
              <w:lastRenderedPageBreak/>
              <w:t>Leverancetidspunkt</w:t>
            </w:r>
          </w:p>
        </w:tc>
      </w:tr>
      <w:tr w:rsidR="00F26DA1" w:rsidRPr="00CE2C34" w14:paraId="37E69168" w14:textId="77777777" w:rsidTr="00D407D3">
        <w:trPr>
          <w:trHeight w:val="20"/>
        </w:trPr>
        <w:tc>
          <w:tcPr>
            <w:tcW w:w="5000" w:type="pct"/>
            <w:shd w:val="clear" w:color="auto" w:fill="FFFFFF"/>
          </w:tcPr>
          <w:p w14:paraId="6DB648E3" w14:textId="1C4C3203" w:rsidR="00756D7C" w:rsidRDefault="009C155B" w:rsidP="009C155B">
            <w:pPr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Der er vedlagt en særskilt tidsplan for denne VUA, der løber frem til </w:t>
            </w:r>
            <w:r w:rsidR="003C79AE">
              <w:rPr>
                <w:szCs w:val="20"/>
                <w:lang w:val="da-DK"/>
              </w:rPr>
              <w:t>tirsdag</w:t>
            </w:r>
            <w:r>
              <w:rPr>
                <w:szCs w:val="20"/>
                <w:lang w:val="da-DK"/>
              </w:rPr>
              <w:t xml:space="preserve"> d. 4. juli 2023, hvilket er </w:t>
            </w:r>
            <w:r w:rsidR="003C79AE">
              <w:rPr>
                <w:szCs w:val="20"/>
                <w:lang w:val="da-DK"/>
              </w:rPr>
              <w:t xml:space="preserve">førstkommende tirsdag efter datoen for spærring af </w:t>
            </w:r>
            <w:r>
              <w:rPr>
                <w:szCs w:val="20"/>
                <w:lang w:val="da-DK"/>
              </w:rPr>
              <w:t>OCES II d. 30. juni.</w:t>
            </w:r>
          </w:p>
          <w:p w14:paraId="322751EA" w14:textId="5502E7F7" w:rsidR="004B3FC0" w:rsidRDefault="004B3FC0" w:rsidP="009C155B">
            <w:pPr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Vigtige datoer fra tidsplanen er:</w:t>
            </w:r>
          </w:p>
          <w:p w14:paraId="7E4F7686" w14:textId="7AF40359" w:rsidR="004B3FC0" w:rsidRPr="004B3FC0" w:rsidRDefault="004B3FC0" w:rsidP="004B3FC0">
            <w:pPr>
              <w:pStyle w:val="Listeafsnit"/>
              <w:numPr>
                <w:ilvl w:val="0"/>
                <w:numId w:val="28"/>
              </w:numPr>
              <w:spacing w:before="0" w:after="120"/>
              <w:rPr>
                <w:szCs w:val="20"/>
                <w:lang w:val="da-DK"/>
              </w:rPr>
            </w:pPr>
            <w:r w:rsidRPr="004B3FC0">
              <w:rPr>
                <w:szCs w:val="20"/>
                <w:lang w:val="da-DK"/>
              </w:rPr>
              <w:t>Med Release 44 d. 7. marts 2023 understøtter e-TL indgående OCES III</w:t>
            </w:r>
          </w:p>
          <w:p w14:paraId="4982FDF9" w14:textId="7E315F12" w:rsidR="004B3FC0" w:rsidRPr="004B3FC0" w:rsidRDefault="004B3FC0" w:rsidP="004B3FC0">
            <w:pPr>
              <w:pStyle w:val="Listeafsnit"/>
              <w:numPr>
                <w:ilvl w:val="0"/>
                <w:numId w:val="28"/>
              </w:numPr>
              <w:spacing w:before="0" w:after="120"/>
              <w:rPr>
                <w:szCs w:val="20"/>
                <w:lang w:val="da-DK"/>
              </w:rPr>
            </w:pPr>
            <w:r w:rsidRPr="004B3FC0">
              <w:rPr>
                <w:szCs w:val="20"/>
                <w:lang w:val="da-DK"/>
              </w:rPr>
              <w:t xml:space="preserve">Med </w:t>
            </w:r>
            <w:proofErr w:type="spellStart"/>
            <w:r w:rsidRPr="004B3FC0">
              <w:rPr>
                <w:szCs w:val="20"/>
                <w:lang w:val="da-DK"/>
              </w:rPr>
              <w:t>Hotfix</w:t>
            </w:r>
            <w:proofErr w:type="spellEnd"/>
            <w:r w:rsidRPr="004B3FC0">
              <w:rPr>
                <w:szCs w:val="20"/>
                <w:lang w:val="da-DK"/>
              </w:rPr>
              <w:t xml:space="preserve"> d. 2. maj signerer e-TL udgående med OCES III</w:t>
            </w:r>
          </w:p>
          <w:p w14:paraId="151DEBAA" w14:textId="4CFD86A0" w:rsidR="00597BB1" w:rsidRPr="0081530A" w:rsidRDefault="004B3FC0" w:rsidP="004B3FC0">
            <w:pPr>
              <w:pStyle w:val="Listeafsnit"/>
              <w:numPr>
                <w:ilvl w:val="0"/>
                <w:numId w:val="28"/>
              </w:numPr>
              <w:spacing w:before="0" w:after="120"/>
              <w:rPr>
                <w:szCs w:val="20"/>
                <w:lang w:val="da-DK"/>
              </w:rPr>
            </w:pPr>
            <w:r w:rsidRPr="004B3FC0">
              <w:rPr>
                <w:szCs w:val="20"/>
                <w:lang w:val="da-DK"/>
              </w:rPr>
              <w:t xml:space="preserve">Med </w:t>
            </w:r>
            <w:proofErr w:type="spellStart"/>
            <w:r w:rsidRPr="004B3FC0">
              <w:rPr>
                <w:szCs w:val="20"/>
                <w:lang w:val="da-DK"/>
              </w:rPr>
              <w:t>Hotfix</w:t>
            </w:r>
            <w:proofErr w:type="spellEnd"/>
            <w:r w:rsidRPr="004B3FC0">
              <w:rPr>
                <w:szCs w:val="20"/>
                <w:lang w:val="da-DK"/>
              </w:rPr>
              <w:t xml:space="preserve"> d. 4. juli </w:t>
            </w:r>
            <w:proofErr w:type="spellStart"/>
            <w:r w:rsidRPr="004B3FC0">
              <w:rPr>
                <w:szCs w:val="20"/>
                <w:lang w:val="da-DK"/>
              </w:rPr>
              <w:t>deployes</w:t>
            </w:r>
            <w:proofErr w:type="spellEnd"/>
            <w:r w:rsidRPr="004B3FC0">
              <w:rPr>
                <w:szCs w:val="20"/>
                <w:lang w:val="da-DK"/>
              </w:rPr>
              <w:t xml:space="preserve"> kodeoprydning for og lukning af firewall vedr. OCES II</w:t>
            </w:r>
          </w:p>
        </w:tc>
      </w:tr>
      <w:tr w:rsidR="00F26DA1" w:rsidRPr="0081530A" w14:paraId="751F7E70" w14:textId="77777777" w:rsidTr="00D407D3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F2147" w:themeFill="text1"/>
          </w:tcPr>
          <w:p w14:paraId="2365028C" w14:textId="4A8A27B1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b/>
                <w:szCs w:val="20"/>
                <w:lang w:val="da-DK"/>
              </w:rPr>
              <w:t xml:space="preserve">Projektorganisation </w:t>
            </w:r>
          </w:p>
        </w:tc>
      </w:tr>
      <w:tr w:rsidR="00F26DA1" w:rsidRPr="00B0097B" w14:paraId="14D2FC39" w14:textId="77777777" w:rsidTr="00D407D3">
        <w:trPr>
          <w:trHeight w:val="20"/>
        </w:trPr>
        <w:tc>
          <w:tcPr>
            <w:tcW w:w="5000" w:type="pct"/>
          </w:tcPr>
          <w:p w14:paraId="544276C3" w14:textId="52727B30" w:rsidR="00CE2C34" w:rsidRPr="0081530A" w:rsidRDefault="00CE2C34" w:rsidP="00C7077A">
            <w:pPr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Leverandøren nedsætter et lille </w:t>
            </w:r>
            <w:proofErr w:type="spellStart"/>
            <w:proofErr w:type="gramStart"/>
            <w:r>
              <w:rPr>
                <w:szCs w:val="20"/>
                <w:lang w:val="da-DK"/>
              </w:rPr>
              <w:t>projektteam</w:t>
            </w:r>
            <w:r w:rsidR="00C7077A">
              <w:rPr>
                <w:szCs w:val="20"/>
                <w:lang w:val="da-DK"/>
              </w:rPr>
              <w:t>.</w:t>
            </w:r>
            <w:r w:rsidR="005E0D5D">
              <w:rPr>
                <w:szCs w:val="20"/>
                <w:lang w:val="da-DK"/>
              </w:rPr>
              <w:t>Der</w:t>
            </w:r>
            <w:proofErr w:type="spellEnd"/>
            <w:proofErr w:type="gramEnd"/>
            <w:r w:rsidR="005E0D5D">
              <w:rPr>
                <w:szCs w:val="20"/>
                <w:lang w:val="da-DK"/>
              </w:rPr>
              <w:t xml:space="preserve"> indgår</w:t>
            </w:r>
            <w:r>
              <w:rPr>
                <w:szCs w:val="20"/>
                <w:lang w:val="da-DK"/>
              </w:rPr>
              <w:t xml:space="preserve"> driftsressourcer</w:t>
            </w:r>
            <w:r w:rsidR="005E0D5D">
              <w:rPr>
                <w:szCs w:val="20"/>
                <w:lang w:val="da-DK"/>
              </w:rPr>
              <w:t xml:space="preserve"> til firewall- og certifikatændringer</w:t>
            </w:r>
            <w:r w:rsidR="005A290B">
              <w:rPr>
                <w:szCs w:val="20"/>
                <w:lang w:val="da-DK"/>
              </w:rPr>
              <w:t xml:space="preserve"> mv</w:t>
            </w:r>
            <w:r w:rsidR="005E0D5D">
              <w:rPr>
                <w:szCs w:val="20"/>
                <w:lang w:val="da-DK"/>
              </w:rPr>
              <w:t>.</w:t>
            </w:r>
          </w:p>
        </w:tc>
      </w:tr>
      <w:tr w:rsidR="00F26DA1" w:rsidRPr="0081530A" w14:paraId="3951AEA7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7D22C0F7" w14:textId="1339368E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b/>
                <w:szCs w:val="20"/>
                <w:lang w:val="da-DK"/>
              </w:rPr>
              <w:t>Krav til rapportering</w:t>
            </w:r>
          </w:p>
        </w:tc>
      </w:tr>
      <w:tr w:rsidR="00F26DA1" w:rsidRPr="00C7077A" w14:paraId="4D733793" w14:textId="77777777" w:rsidTr="00D407D3">
        <w:trPr>
          <w:trHeight w:val="20"/>
        </w:trPr>
        <w:tc>
          <w:tcPr>
            <w:tcW w:w="5000" w:type="pct"/>
            <w:shd w:val="clear" w:color="auto" w:fill="auto"/>
          </w:tcPr>
          <w:p w14:paraId="0722C646" w14:textId="7E16EF4D" w:rsidR="00A70F83" w:rsidRDefault="00EC49D9" w:rsidP="00D407D3">
            <w:pPr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Leverandøren sender ugevist kortfattet statusrapport med</w:t>
            </w:r>
            <w:r w:rsidR="00847271">
              <w:rPr>
                <w:szCs w:val="20"/>
                <w:lang w:val="da-DK"/>
              </w:rPr>
              <w:t xml:space="preserve"> resume og</w:t>
            </w:r>
            <w:r w:rsidR="003C79AE">
              <w:rPr>
                <w:szCs w:val="20"/>
                <w:lang w:val="da-DK"/>
              </w:rPr>
              <w:t xml:space="preserve"> KPI-farver i hele projektforløbet frem til 4. juli 2023.</w:t>
            </w:r>
          </w:p>
          <w:p w14:paraId="38E53D73" w14:textId="0DDECC6F" w:rsidR="00145094" w:rsidRPr="0081530A" w:rsidRDefault="00145094" w:rsidP="00D407D3">
            <w:pPr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Leverandøren fører en</w:t>
            </w:r>
            <w:r w:rsidR="00847271">
              <w:rPr>
                <w:szCs w:val="20"/>
                <w:lang w:val="da-DK"/>
              </w:rPr>
              <w:t xml:space="preserve"> særskilt</w:t>
            </w:r>
            <w:r>
              <w:rPr>
                <w:szCs w:val="20"/>
                <w:lang w:val="da-DK"/>
              </w:rPr>
              <w:t xml:space="preserve"> risikolog</w:t>
            </w:r>
            <w:r w:rsidR="00847271">
              <w:rPr>
                <w:szCs w:val="20"/>
                <w:lang w:val="da-DK"/>
              </w:rPr>
              <w:t xml:space="preserve"> i sit Toolkit</w:t>
            </w:r>
            <w:r>
              <w:rPr>
                <w:szCs w:val="20"/>
                <w:lang w:val="da-DK"/>
              </w:rPr>
              <w:t>, som løbende opdateres i hele projektforløbet.</w:t>
            </w:r>
          </w:p>
        </w:tc>
      </w:tr>
      <w:tr w:rsidR="00F26DA1" w:rsidRPr="0081530A" w14:paraId="0A927B36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5827D13A" w14:textId="22D99960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b/>
                <w:szCs w:val="20"/>
                <w:lang w:val="da-DK"/>
              </w:rPr>
              <w:t>Krav til dokumentation</w:t>
            </w:r>
          </w:p>
        </w:tc>
      </w:tr>
      <w:tr w:rsidR="00F26DA1" w:rsidRPr="00A70F83" w14:paraId="3D4CEB01" w14:textId="77777777" w:rsidTr="00D407D3">
        <w:trPr>
          <w:trHeight w:val="20"/>
        </w:trPr>
        <w:tc>
          <w:tcPr>
            <w:tcW w:w="5000" w:type="pct"/>
            <w:shd w:val="clear" w:color="auto" w:fill="auto"/>
          </w:tcPr>
          <w:p w14:paraId="3A2EC44E" w14:textId="24FD31D8" w:rsidR="00A70F83" w:rsidRDefault="009D79A2" w:rsidP="00D407D3">
            <w:pPr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O0</w:t>
            </w:r>
            <w:r w:rsidR="003D079A">
              <w:rPr>
                <w:szCs w:val="20"/>
                <w:lang w:val="da-DK"/>
              </w:rPr>
              <w:t>2</w:t>
            </w:r>
            <w:r>
              <w:rPr>
                <w:szCs w:val="20"/>
                <w:lang w:val="da-DK"/>
              </w:rPr>
              <w:t xml:space="preserve">00 – </w:t>
            </w:r>
            <w:r w:rsidR="003D079A">
              <w:rPr>
                <w:szCs w:val="20"/>
                <w:lang w:val="da-DK"/>
              </w:rPr>
              <w:t>Drifts</w:t>
            </w:r>
            <w:r>
              <w:rPr>
                <w:szCs w:val="20"/>
                <w:lang w:val="da-DK"/>
              </w:rPr>
              <w:t>vejledning</w:t>
            </w:r>
          </w:p>
          <w:p w14:paraId="206E011D" w14:textId="3CDB7E6E" w:rsidR="003D079A" w:rsidRDefault="003D079A" w:rsidP="00D407D3">
            <w:pPr>
              <w:spacing w:before="0" w:after="120"/>
              <w:rPr>
                <w:szCs w:val="20"/>
                <w:lang w:val="da-DK"/>
              </w:rPr>
            </w:pPr>
            <w:r w:rsidRPr="003D079A">
              <w:rPr>
                <w:szCs w:val="20"/>
                <w:lang w:val="da-DK"/>
              </w:rPr>
              <w:t xml:space="preserve">O0200 - Certificate </w:t>
            </w:r>
            <w:proofErr w:type="spellStart"/>
            <w:r w:rsidRPr="003D079A">
              <w:rPr>
                <w:szCs w:val="20"/>
                <w:lang w:val="da-DK"/>
              </w:rPr>
              <w:t>Documentation</w:t>
            </w:r>
            <w:proofErr w:type="spellEnd"/>
          </w:p>
          <w:p w14:paraId="57BCB685" w14:textId="4B8E19A0" w:rsidR="003D079A" w:rsidRDefault="003D079A" w:rsidP="00D407D3">
            <w:pPr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Systemdokumentation</w:t>
            </w:r>
          </w:p>
          <w:p w14:paraId="308D71A1" w14:textId="71AC363F" w:rsidR="003D079A" w:rsidRPr="0081530A" w:rsidRDefault="003D079A" w:rsidP="003D079A">
            <w:pPr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Dokumentation for Firewall konfiguration</w:t>
            </w:r>
          </w:p>
        </w:tc>
      </w:tr>
      <w:tr w:rsidR="00005358" w:rsidRPr="00005358" w14:paraId="2142A14C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11FFE6B6" w14:textId="4C021F31" w:rsidR="00005358" w:rsidRPr="00005358" w:rsidRDefault="00005358" w:rsidP="00D407D3">
            <w:pPr>
              <w:spacing w:before="0"/>
              <w:rPr>
                <w:b/>
                <w:szCs w:val="20"/>
                <w:lang w:val="da-DK"/>
              </w:rPr>
            </w:pPr>
            <w:r w:rsidRPr="00005358">
              <w:rPr>
                <w:b/>
                <w:szCs w:val="20"/>
                <w:lang w:val="da-DK"/>
              </w:rPr>
              <w:t>Andre forhold</w:t>
            </w:r>
          </w:p>
        </w:tc>
      </w:tr>
      <w:tr w:rsidR="00F26DA1" w:rsidRPr="00C7077A" w14:paraId="552C14CB" w14:textId="77777777" w:rsidTr="00D407D3">
        <w:trPr>
          <w:trHeight w:val="20"/>
        </w:trPr>
        <w:tc>
          <w:tcPr>
            <w:tcW w:w="5000" w:type="pct"/>
          </w:tcPr>
          <w:p w14:paraId="1A26793F" w14:textId="70A2420B" w:rsidR="00EC49D9" w:rsidRDefault="00EC49D9" w:rsidP="00485CCA">
            <w:pPr>
              <w:autoSpaceDE w:val="0"/>
              <w:autoSpaceDN w:val="0"/>
              <w:adjustRightInd w:val="0"/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Det er en forudsætning</w:t>
            </w:r>
            <w:r w:rsidR="00C7077A">
              <w:rPr>
                <w:szCs w:val="20"/>
                <w:lang w:val="da-DK"/>
              </w:rPr>
              <w:t>,</w:t>
            </w:r>
            <w:r>
              <w:rPr>
                <w:szCs w:val="20"/>
                <w:lang w:val="da-DK"/>
              </w:rPr>
              <w:t xml:space="preserve"> at </w:t>
            </w:r>
            <w:r w:rsidR="005E7151">
              <w:rPr>
                <w:szCs w:val="20"/>
                <w:lang w:val="da-DK"/>
              </w:rPr>
              <w:t>S</w:t>
            </w:r>
            <w:r>
              <w:rPr>
                <w:szCs w:val="20"/>
                <w:lang w:val="da-DK"/>
              </w:rPr>
              <w:t>kæringsda</w:t>
            </w:r>
            <w:r w:rsidR="005E7151">
              <w:rPr>
                <w:szCs w:val="20"/>
                <w:lang w:val="da-DK"/>
              </w:rPr>
              <w:t>gen</w:t>
            </w:r>
            <w:r>
              <w:rPr>
                <w:szCs w:val="20"/>
                <w:lang w:val="da-DK"/>
              </w:rPr>
              <w:t xml:space="preserve"> 30. juni fastholdes fra Digitaliseringsstyrelsens side.</w:t>
            </w:r>
          </w:p>
          <w:p w14:paraId="529E9D73" w14:textId="03D49DE7" w:rsidR="00BF6D8A" w:rsidRDefault="00BF6D8A" w:rsidP="00485CCA">
            <w:pPr>
              <w:autoSpaceDE w:val="0"/>
              <w:autoSpaceDN w:val="0"/>
              <w:adjustRightInd w:val="0"/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Kunden/DSS bestiller de påkrævede nye OCES III certifikater </w:t>
            </w:r>
            <w:r w:rsidR="00BE7A51">
              <w:rPr>
                <w:szCs w:val="20"/>
                <w:lang w:val="da-DK"/>
              </w:rPr>
              <w:t xml:space="preserve">til e-TL </w:t>
            </w:r>
            <w:r>
              <w:rPr>
                <w:szCs w:val="20"/>
                <w:lang w:val="da-DK"/>
              </w:rPr>
              <w:t>til signering mv.</w:t>
            </w:r>
          </w:p>
          <w:p w14:paraId="51F59398" w14:textId="65DB73BA" w:rsidR="00F26DA1" w:rsidRPr="0081530A" w:rsidRDefault="00F26DA1" w:rsidP="00C7077A">
            <w:pPr>
              <w:autoSpaceDE w:val="0"/>
              <w:autoSpaceDN w:val="0"/>
              <w:adjustRightInd w:val="0"/>
              <w:spacing w:before="0" w:after="120"/>
              <w:rPr>
                <w:szCs w:val="20"/>
                <w:lang w:val="da-DK"/>
              </w:rPr>
            </w:pPr>
          </w:p>
        </w:tc>
      </w:tr>
    </w:tbl>
    <w:p w14:paraId="7CBB45E2" w14:textId="70264F85" w:rsidR="008A7575" w:rsidRPr="00C1631C" w:rsidRDefault="008A7575" w:rsidP="00010A72">
      <w:pPr>
        <w:rPr>
          <w:lang w:val="da-DK"/>
        </w:rPr>
      </w:pPr>
      <w:r>
        <w:rPr>
          <w:noProof/>
          <w:lang w:val="da-DK"/>
        </w:rPr>
        <w:lastRenderedPageBreak/>
        <w:drawing>
          <wp:inline distT="0" distB="0" distL="0" distR="0" wp14:anchorId="08C59097" wp14:editId="20897E3C">
            <wp:extent cx="9251950" cy="3592195"/>
            <wp:effectExtent l="0" t="0" r="6350" b="825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575" w:rsidRPr="00C1631C" w:rsidSect="008A7575">
      <w:headerReference w:type="default" r:id="rId14"/>
      <w:footerReference w:type="default" r:id="rId15"/>
      <w:headerReference w:type="first" r:id="rId16"/>
      <w:pgSz w:w="16838" w:h="11906" w:orient="landscape" w:code="9"/>
      <w:pgMar w:top="1701" w:right="1134" w:bottom="1701" w:left="113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CB4C" w14:textId="77777777" w:rsidR="00307B3D" w:rsidRDefault="00307B3D">
      <w:r>
        <w:separator/>
      </w:r>
    </w:p>
  </w:endnote>
  <w:endnote w:type="continuationSeparator" w:id="0">
    <w:p w14:paraId="6021BB97" w14:textId="77777777" w:rsidR="00307B3D" w:rsidRDefault="00307B3D">
      <w:r>
        <w:continuationSeparator/>
      </w:r>
    </w:p>
  </w:endnote>
  <w:endnote w:type="continuationNotice" w:id="1">
    <w:p w14:paraId="23B14C51" w14:textId="77777777" w:rsidR="00307B3D" w:rsidRDefault="00307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B7FA" w14:textId="66FCAD87" w:rsidR="00515A5E" w:rsidRPr="00D0327F" w:rsidRDefault="00A950BA" w:rsidP="007747A1">
    <w:pPr>
      <w:pStyle w:val="Brdtekst"/>
      <w:tabs>
        <w:tab w:val="left" w:pos="3969"/>
        <w:tab w:val="left" w:pos="9214"/>
      </w:tabs>
      <w:rPr>
        <w:color w:val="0F2147" w:themeColor="text1"/>
      </w:rPr>
    </w:pPr>
    <w:r>
      <w:rPr>
        <w:color w:val="0F2147" w:themeColor="text1"/>
        <w:sz w:val="16"/>
      </w:rPr>
      <w:tab/>
    </w:r>
    <w:r w:rsidR="00DE5987" w:rsidRPr="00D0327F">
      <w:rPr>
        <w:color w:val="0F2147" w:themeColor="text1"/>
        <w:sz w:val="16"/>
      </w:rPr>
      <w:t xml:space="preserve">© </w:t>
    </w:r>
    <w:r w:rsidR="00DE5987" w:rsidRPr="00D0327F">
      <w:rPr>
        <w:color w:val="0F2147" w:themeColor="text1"/>
        <w:sz w:val="16"/>
      </w:rPr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00D0327F">
      <w:rPr>
        <w:color w:val="0F2147" w:themeColor="text1"/>
        <w:sz w:val="16"/>
      </w:rPr>
      <w:fldChar w:fldCharType="separate"/>
    </w:r>
    <w:r w:rsidR="00B0097B">
      <w:rPr>
        <w:noProof/>
        <w:color w:val="0F2147" w:themeColor="text1"/>
        <w:sz w:val="16"/>
      </w:rPr>
      <w:t>2023</w:t>
    </w:r>
    <w:r w:rsidR="00DE5987" w:rsidRPr="00D0327F">
      <w:rPr>
        <w:color w:val="0F2147" w:themeColor="text1"/>
        <w:sz w:val="16"/>
      </w:rPr>
      <w:fldChar w:fldCharType="end"/>
    </w:r>
    <w:r w:rsidR="00DE5987" w:rsidRPr="00D0327F">
      <w:rPr>
        <w:color w:val="0F2147" w:themeColor="text1"/>
        <w:sz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0045764E">
      <w:rPr>
        <w:color w:val="0F2147" w:themeColor="text1"/>
        <w:sz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0045764E">
      <w:rPr>
        <w:color w:val="0F2147" w:themeColor="text1"/>
        <w:sz w:val="16"/>
      </w:rPr>
      <w:fldChar w:fldCharType="separate"/>
    </w:r>
    <w:r w:rsidR="00120F0E">
      <w:rPr>
        <w:noProof/>
        <w:color w:val="0F2147" w:themeColor="text1"/>
        <w:sz w:val="16"/>
      </w:rPr>
      <w:t>2</w:t>
    </w:r>
    <w:r w:rsidR="00DE5987" w:rsidRPr="0045764E">
      <w:rPr>
        <w:color w:val="0F2147" w:themeColor="text1"/>
        <w:sz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47F7E031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41578" w14:textId="77777777" w:rsidR="00307B3D" w:rsidRDefault="00307B3D">
      <w:r>
        <w:separator/>
      </w:r>
    </w:p>
  </w:footnote>
  <w:footnote w:type="continuationSeparator" w:id="0">
    <w:p w14:paraId="28C49CB7" w14:textId="77777777" w:rsidR="00307B3D" w:rsidRDefault="00307B3D">
      <w:r>
        <w:continuationSeparator/>
      </w:r>
    </w:p>
  </w:footnote>
  <w:footnote w:type="continuationNotice" w:id="1">
    <w:p w14:paraId="7F1C574E" w14:textId="77777777" w:rsidR="00307B3D" w:rsidRDefault="00307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9666E" w14:textId="68A3FA9D" w:rsidR="0021056A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8240" behindDoc="0" locked="0" layoutInCell="1" allowOverlap="1" wp14:anchorId="67F7133C" wp14:editId="0CA9DE69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565FA" w14:textId="7F76B01E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C60E0D" wp14:editId="2815F37F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6571293"/>
    <w:multiLevelType w:val="hybridMultilevel"/>
    <w:tmpl w:val="8B40AC0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048F5"/>
    <w:multiLevelType w:val="hybridMultilevel"/>
    <w:tmpl w:val="65D057A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F281F1B"/>
    <w:multiLevelType w:val="hybridMultilevel"/>
    <w:tmpl w:val="26701EC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78826DDB"/>
    <w:multiLevelType w:val="hybridMultilevel"/>
    <w:tmpl w:val="7EA63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4"/>
  </w:num>
  <w:num w:numId="10">
    <w:abstractNumId w:val="16"/>
  </w:num>
  <w:num w:numId="11">
    <w:abstractNumId w:val="11"/>
  </w:num>
  <w:num w:numId="12">
    <w:abstractNumId w:val="19"/>
  </w:num>
  <w:num w:numId="13">
    <w:abstractNumId w:val="4"/>
  </w:num>
  <w:num w:numId="14">
    <w:abstractNumId w:val="0"/>
  </w:num>
  <w:num w:numId="15">
    <w:abstractNumId w:val="20"/>
  </w:num>
  <w:num w:numId="16">
    <w:abstractNumId w:val="21"/>
  </w:num>
  <w:num w:numId="17">
    <w:abstractNumId w:val="10"/>
  </w:num>
  <w:num w:numId="18">
    <w:abstractNumId w:val="28"/>
  </w:num>
  <w:num w:numId="19">
    <w:abstractNumId w:val="22"/>
  </w:num>
  <w:num w:numId="20">
    <w:abstractNumId w:val="26"/>
  </w:num>
  <w:num w:numId="21">
    <w:abstractNumId w:val="15"/>
  </w:num>
  <w:num w:numId="22">
    <w:abstractNumId w:val="14"/>
  </w:num>
  <w:num w:numId="23">
    <w:abstractNumId w:val="18"/>
  </w:num>
  <w:num w:numId="24">
    <w:abstractNumId w:val="17"/>
  </w:num>
  <w:num w:numId="25">
    <w:abstractNumId w:val="23"/>
  </w:num>
  <w:num w:numId="26">
    <w:abstractNumId w:val="12"/>
  </w:num>
  <w:num w:numId="27">
    <w:abstractNumId w:val="13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FC"/>
    <w:rsid w:val="00000C96"/>
    <w:rsid w:val="00001D3A"/>
    <w:rsid w:val="00005358"/>
    <w:rsid w:val="000054DF"/>
    <w:rsid w:val="00005566"/>
    <w:rsid w:val="0000799E"/>
    <w:rsid w:val="00010995"/>
    <w:rsid w:val="00010A72"/>
    <w:rsid w:val="000110A7"/>
    <w:rsid w:val="00023D78"/>
    <w:rsid w:val="000414B8"/>
    <w:rsid w:val="000522B1"/>
    <w:rsid w:val="000530EF"/>
    <w:rsid w:val="00060FF8"/>
    <w:rsid w:val="00071584"/>
    <w:rsid w:val="00075F38"/>
    <w:rsid w:val="000A701D"/>
    <w:rsid w:val="000B0EAE"/>
    <w:rsid w:val="000B6A07"/>
    <w:rsid w:val="000B7CC4"/>
    <w:rsid w:val="000C0773"/>
    <w:rsid w:val="000D5966"/>
    <w:rsid w:val="000D66A1"/>
    <w:rsid w:val="000E3BEF"/>
    <w:rsid w:val="000F2926"/>
    <w:rsid w:val="00110E38"/>
    <w:rsid w:val="00120F0E"/>
    <w:rsid w:val="001301AC"/>
    <w:rsid w:val="00134DE4"/>
    <w:rsid w:val="00145094"/>
    <w:rsid w:val="00152920"/>
    <w:rsid w:val="00156FCC"/>
    <w:rsid w:val="00163B7E"/>
    <w:rsid w:val="00164446"/>
    <w:rsid w:val="00175955"/>
    <w:rsid w:val="001A0A54"/>
    <w:rsid w:val="001B58DA"/>
    <w:rsid w:val="001B7BC0"/>
    <w:rsid w:val="001D0664"/>
    <w:rsid w:val="001E0164"/>
    <w:rsid w:val="002005CA"/>
    <w:rsid w:val="00202EC4"/>
    <w:rsid w:val="0020550A"/>
    <w:rsid w:val="00207BF9"/>
    <w:rsid w:val="00235502"/>
    <w:rsid w:val="00240270"/>
    <w:rsid w:val="002417D8"/>
    <w:rsid w:val="00242EF8"/>
    <w:rsid w:val="0025690C"/>
    <w:rsid w:val="0026574E"/>
    <w:rsid w:val="002660C1"/>
    <w:rsid w:val="0029526D"/>
    <w:rsid w:val="002C4307"/>
    <w:rsid w:val="002D3BA9"/>
    <w:rsid w:val="002D59F8"/>
    <w:rsid w:val="002D7273"/>
    <w:rsid w:val="002E1A52"/>
    <w:rsid w:val="002F4D70"/>
    <w:rsid w:val="002F68A7"/>
    <w:rsid w:val="003010ED"/>
    <w:rsid w:val="003011F5"/>
    <w:rsid w:val="00307B3D"/>
    <w:rsid w:val="003108A0"/>
    <w:rsid w:val="00316299"/>
    <w:rsid w:val="0032242D"/>
    <w:rsid w:val="00324E69"/>
    <w:rsid w:val="0032736A"/>
    <w:rsid w:val="0032771C"/>
    <w:rsid w:val="00334298"/>
    <w:rsid w:val="00344213"/>
    <w:rsid w:val="00350CD4"/>
    <w:rsid w:val="0037134A"/>
    <w:rsid w:val="00371887"/>
    <w:rsid w:val="0039722A"/>
    <w:rsid w:val="003A291D"/>
    <w:rsid w:val="003A6F68"/>
    <w:rsid w:val="003C2EDC"/>
    <w:rsid w:val="003C79AE"/>
    <w:rsid w:val="003D079A"/>
    <w:rsid w:val="003D0B4C"/>
    <w:rsid w:val="003D4738"/>
    <w:rsid w:val="003E08CE"/>
    <w:rsid w:val="00407B73"/>
    <w:rsid w:val="00420477"/>
    <w:rsid w:val="0045764E"/>
    <w:rsid w:val="00463E85"/>
    <w:rsid w:val="004725C0"/>
    <w:rsid w:val="00485CCA"/>
    <w:rsid w:val="004A5ABE"/>
    <w:rsid w:val="004A7B1D"/>
    <w:rsid w:val="004B0266"/>
    <w:rsid w:val="004B2C24"/>
    <w:rsid w:val="004B3FC0"/>
    <w:rsid w:val="004B493B"/>
    <w:rsid w:val="004C4E9D"/>
    <w:rsid w:val="004D29C9"/>
    <w:rsid w:val="004E1F93"/>
    <w:rsid w:val="004F38F8"/>
    <w:rsid w:val="004F3ABD"/>
    <w:rsid w:val="00514DDB"/>
    <w:rsid w:val="00515A5E"/>
    <w:rsid w:val="005431FE"/>
    <w:rsid w:val="005577D6"/>
    <w:rsid w:val="00570411"/>
    <w:rsid w:val="00570BB3"/>
    <w:rsid w:val="0057524A"/>
    <w:rsid w:val="005821FC"/>
    <w:rsid w:val="0059013C"/>
    <w:rsid w:val="005939ED"/>
    <w:rsid w:val="00595817"/>
    <w:rsid w:val="00597BB1"/>
    <w:rsid w:val="005A290B"/>
    <w:rsid w:val="005C52D6"/>
    <w:rsid w:val="005E0D5D"/>
    <w:rsid w:val="005E3AFB"/>
    <w:rsid w:val="005E7151"/>
    <w:rsid w:val="005E7639"/>
    <w:rsid w:val="005F21B5"/>
    <w:rsid w:val="006353DD"/>
    <w:rsid w:val="00641EC7"/>
    <w:rsid w:val="00643590"/>
    <w:rsid w:val="00664304"/>
    <w:rsid w:val="006722BE"/>
    <w:rsid w:val="00682F2E"/>
    <w:rsid w:val="0068338A"/>
    <w:rsid w:val="006A1289"/>
    <w:rsid w:val="006A3611"/>
    <w:rsid w:val="006A6584"/>
    <w:rsid w:val="006B6DF6"/>
    <w:rsid w:val="006C4DE4"/>
    <w:rsid w:val="006D15A4"/>
    <w:rsid w:val="006E6B65"/>
    <w:rsid w:val="006F1B7A"/>
    <w:rsid w:val="006F43FB"/>
    <w:rsid w:val="006F4B3D"/>
    <w:rsid w:val="006F5E54"/>
    <w:rsid w:val="00706166"/>
    <w:rsid w:val="00711AAB"/>
    <w:rsid w:val="00712E40"/>
    <w:rsid w:val="00723073"/>
    <w:rsid w:val="0074423A"/>
    <w:rsid w:val="007471E5"/>
    <w:rsid w:val="00756D7C"/>
    <w:rsid w:val="007604E1"/>
    <w:rsid w:val="007747A1"/>
    <w:rsid w:val="00793C1B"/>
    <w:rsid w:val="007A4CE3"/>
    <w:rsid w:val="007C6BDB"/>
    <w:rsid w:val="007D3935"/>
    <w:rsid w:val="007E7589"/>
    <w:rsid w:val="008010CE"/>
    <w:rsid w:val="00814AC7"/>
    <w:rsid w:val="0081530A"/>
    <w:rsid w:val="00822002"/>
    <w:rsid w:val="0082742E"/>
    <w:rsid w:val="00842E6D"/>
    <w:rsid w:val="00847271"/>
    <w:rsid w:val="00851647"/>
    <w:rsid w:val="00857036"/>
    <w:rsid w:val="00871135"/>
    <w:rsid w:val="0089290A"/>
    <w:rsid w:val="00892D76"/>
    <w:rsid w:val="00897A1B"/>
    <w:rsid w:val="008A7575"/>
    <w:rsid w:val="008B2142"/>
    <w:rsid w:val="008B41B1"/>
    <w:rsid w:val="008B6B1D"/>
    <w:rsid w:val="008C324F"/>
    <w:rsid w:val="008D0655"/>
    <w:rsid w:val="008D10C5"/>
    <w:rsid w:val="008D4247"/>
    <w:rsid w:val="008F10B0"/>
    <w:rsid w:val="008F3751"/>
    <w:rsid w:val="008F63FC"/>
    <w:rsid w:val="00900331"/>
    <w:rsid w:val="0090090F"/>
    <w:rsid w:val="00927484"/>
    <w:rsid w:val="00950471"/>
    <w:rsid w:val="009659CC"/>
    <w:rsid w:val="00967096"/>
    <w:rsid w:val="00971C74"/>
    <w:rsid w:val="00990CFC"/>
    <w:rsid w:val="00992496"/>
    <w:rsid w:val="00993DE7"/>
    <w:rsid w:val="009A2F31"/>
    <w:rsid w:val="009C155B"/>
    <w:rsid w:val="009C6C0D"/>
    <w:rsid w:val="009D79A2"/>
    <w:rsid w:val="00A03FB8"/>
    <w:rsid w:val="00A11BB1"/>
    <w:rsid w:val="00A236B6"/>
    <w:rsid w:val="00A26146"/>
    <w:rsid w:val="00A525BA"/>
    <w:rsid w:val="00A70F83"/>
    <w:rsid w:val="00A74944"/>
    <w:rsid w:val="00A8282C"/>
    <w:rsid w:val="00A8736B"/>
    <w:rsid w:val="00A950BA"/>
    <w:rsid w:val="00A96333"/>
    <w:rsid w:val="00AA7833"/>
    <w:rsid w:val="00AB4A71"/>
    <w:rsid w:val="00B0097B"/>
    <w:rsid w:val="00B4562E"/>
    <w:rsid w:val="00B66218"/>
    <w:rsid w:val="00B81CA0"/>
    <w:rsid w:val="00BA3CCD"/>
    <w:rsid w:val="00BC18DF"/>
    <w:rsid w:val="00BC2EA2"/>
    <w:rsid w:val="00BC63AA"/>
    <w:rsid w:val="00BC7A23"/>
    <w:rsid w:val="00BE7A51"/>
    <w:rsid w:val="00BF58D2"/>
    <w:rsid w:val="00BF6D8A"/>
    <w:rsid w:val="00C01970"/>
    <w:rsid w:val="00C105E0"/>
    <w:rsid w:val="00C14B75"/>
    <w:rsid w:val="00C1631C"/>
    <w:rsid w:val="00C35A0B"/>
    <w:rsid w:val="00C42ED5"/>
    <w:rsid w:val="00C46E94"/>
    <w:rsid w:val="00C51042"/>
    <w:rsid w:val="00C7077A"/>
    <w:rsid w:val="00C94A3C"/>
    <w:rsid w:val="00C974DC"/>
    <w:rsid w:val="00CB283D"/>
    <w:rsid w:val="00CB40C9"/>
    <w:rsid w:val="00CC05D9"/>
    <w:rsid w:val="00CD1DC4"/>
    <w:rsid w:val="00CD2043"/>
    <w:rsid w:val="00CE2C34"/>
    <w:rsid w:val="00CF3BA9"/>
    <w:rsid w:val="00D0327F"/>
    <w:rsid w:val="00D05849"/>
    <w:rsid w:val="00D11C83"/>
    <w:rsid w:val="00D13067"/>
    <w:rsid w:val="00D22BFF"/>
    <w:rsid w:val="00D407D3"/>
    <w:rsid w:val="00D41C35"/>
    <w:rsid w:val="00D4200D"/>
    <w:rsid w:val="00D439F5"/>
    <w:rsid w:val="00D516B4"/>
    <w:rsid w:val="00D52042"/>
    <w:rsid w:val="00D54735"/>
    <w:rsid w:val="00D55529"/>
    <w:rsid w:val="00D63B72"/>
    <w:rsid w:val="00D7181C"/>
    <w:rsid w:val="00D73044"/>
    <w:rsid w:val="00D7626B"/>
    <w:rsid w:val="00DC0257"/>
    <w:rsid w:val="00DC6C76"/>
    <w:rsid w:val="00DD62AE"/>
    <w:rsid w:val="00DE1599"/>
    <w:rsid w:val="00DE5987"/>
    <w:rsid w:val="00E12EA7"/>
    <w:rsid w:val="00E24146"/>
    <w:rsid w:val="00E3108F"/>
    <w:rsid w:val="00E31FB9"/>
    <w:rsid w:val="00E358E2"/>
    <w:rsid w:val="00E35E78"/>
    <w:rsid w:val="00E37815"/>
    <w:rsid w:val="00E470BD"/>
    <w:rsid w:val="00E76A61"/>
    <w:rsid w:val="00E8122B"/>
    <w:rsid w:val="00E92BF1"/>
    <w:rsid w:val="00E94791"/>
    <w:rsid w:val="00EB3725"/>
    <w:rsid w:val="00EC49D9"/>
    <w:rsid w:val="00EC6C84"/>
    <w:rsid w:val="00EF73DC"/>
    <w:rsid w:val="00F05902"/>
    <w:rsid w:val="00F07A7F"/>
    <w:rsid w:val="00F1136A"/>
    <w:rsid w:val="00F15805"/>
    <w:rsid w:val="00F2409F"/>
    <w:rsid w:val="00F26DA1"/>
    <w:rsid w:val="00F40613"/>
    <w:rsid w:val="00F50E1A"/>
    <w:rsid w:val="00F7557B"/>
    <w:rsid w:val="00F92B8E"/>
    <w:rsid w:val="00FA2923"/>
    <w:rsid w:val="00FB18C7"/>
    <w:rsid w:val="00FB3B03"/>
    <w:rsid w:val="00FC54E7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20781"/>
  <w15:docId w15:val="{9C1467A7-BD86-4D2C-A66E-40D6648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301AC"/>
    <w:pPr>
      <w:ind w:left="0"/>
    </w:pPr>
    <w:rPr>
      <w:b/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1301AC"/>
    <w:rPr>
      <w:b/>
      <w:bCs/>
      <w:szCs w:val="24"/>
      <w:lang w:val="en-US" w:eastAsia="en-US"/>
    </w:rPr>
  </w:style>
  <w:style w:type="paragraph" w:styleId="Korrektur">
    <w:name w:val="Revision"/>
    <w:hidden/>
    <w:uiPriority w:val="99"/>
    <w:semiHidden/>
    <w:rsid w:val="004A7B1D"/>
    <w:pPr>
      <w:spacing w:after="0" w:line="240" w:lineRule="auto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03 - Færdigt</DocumentStatus>
    <DocumentVersion xmlns="http://schemas.microsoft.com/sharepoint/v3">1.1</DocumentVersion>
    <CCMMetadataExtractionStatus xmlns="http://schemas.microsoft.com/sharepoint/v3">CCMPageCount:InProgress;CCMCommentCount:InProgress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5</CCMPageCount>
    <DocID xmlns="http://schemas.microsoft.com/sharepoint/v3">7328213</DocID>
    <MailHasAttachments xmlns="http://schemas.microsoft.com/sharepoint/v3">false</MailHasAttachments>
    <CCMCommentCount xmlns="http://schemas.microsoft.com/sharepoint/v3">6</CCMCommentCount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564EB6-F2F0-468C-B6E8-028D5A521A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4295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Netcompany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fka@netcompany.com</dc:creator>
  <cp:lastModifiedBy>Hanne-Mette Vedel Madsen</cp:lastModifiedBy>
  <cp:revision>2</cp:revision>
  <cp:lastPrinted>2022-11-23T12:50:00Z</cp:lastPrinted>
  <dcterms:created xsi:type="dcterms:W3CDTF">2023-01-11T11:13:00Z</dcterms:created>
  <dcterms:modified xsi:type="dcterms:W3CDTF">2023-01-11T11:13:00Z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