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5D24" w:rsidRDefault="00BF4EEA" w14:paraId="1E11B2CE" w14:textId="77777777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Consumers Health Forum of Australia</w:t>
      </w:r>
    </w:p>
    <w:p w:rsidR="00A85D24" w:rsidRDefault="00BF4EEA" w14:paraId="280558F0" w14:textId="77777777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Strategic Directions 2023 - 2026</w:t>
      </w:r>
    </w:p>
    <w:p w:rsidR="00A85D24" w:rsidRDefault="00A85D24" w14:paraId="7031A954" w14:textId="77777777">
      <w:pPr>
        <w:pStyle w:val="Body"/>
        <w:rPr>
          <w:b/>
          <w:bCs/>
        </w:rPr>
      </w:pPr>
    </w:p>
    <w:p w:rsidR="00A85D24" w:rsidRDefault="00BF4EEA" w14:paraId="3C39F9EC" w14:textId="77777777">
      <w:pPr>
        <w:pStyle w:val="Body"/>
        <w:rPr>
          <w:b/>
          <w:bCs/>
        </w:rPr>
      </w:pPr>
      <w:r>
        <w:rPr>
          <w:b/>
          <w:bCs/>
        </w:rPr>
        <w:t>Our purpose and role</w:t>
      </w:r>
    </w:p>
    <w:p w:rsidR="00A85D24" w:rsidRDefault="00BF4EEA" w14:paraId="173596B2" w14:textId="77777777">
      <w:pPr>
        <w:pStyle w:val="Body"/>
      </w:pPr>
      <w:r>
        <w:t xml:space="preserve">We are Australia’s sole peak body representing all health consumers. With our members, we activate and support consumer participation, and advocate for </w:t>
      </w:r>
      <w:r>
        <w:t>consumers’ interests, on 3 key issues:</w:t>
      </w:r>
    </w:p>
    <w:p w:rsidR="00A85D24" w:rsidRDefault="00BF4EEA" w14:paraId="7DE2FAD5" w14:textId="77777777">
      <w:pPr>
        <w:pStyle w:val="Body"/>
        <w:numPr>
          <w:ilvl w:val="0"/>
          <w:numId w:val="1"/>
        </w:numPr>
      </w:pPr>
      <w:r>
        <w:t>Consumers understanding the factors that affect their health</w:t>
      </w:r>
    </w:p>
    <w:p w:rsidR="00A85D24" w:rsidRDefault="00BF4EEA" w14:paraId="07BDCB39" w14:textId="77777777">
      <w:pPr>
        <w:pStyle w:val="Body"/>
        <w:numPr>
          <w:ilvl w:val="0"/>
          <w:numId w:val="1"/>
        </w:numPr>
      </w:pPr>
      <w:r>
        <w:t>Care being easy to use because it is integrated and accessible</w:t>
      </w:r>
    </w:p>
    <w:p w:rsidR="00A85D24" w:rsidRDefault="00BF4EEA" w14:paraId="1729F757" w14:textId="77777777">
      <w:pPr>
        <w:pStyle w:val="Body"/>
        <w:numPr>
          <w:ilvl w:val="0"/>
          <w:numId w:val="1"/>
        </w:numPr>
      </w:pPr>
      <w:r>
        <w:t>Safety and quality of care that meets consumer expectations</w:t>
      </w:r>
    </w:p>
    <w:p w:rsidR="00A85D24" w:rsidRDefault="00A85D24" w14:paraId="40028FD5" w14:textId="77777777">
      <w:pPr>
        <w:pStyle w:val="Body"/>
      </w:pPr>
    </w:p>
    <w:p w:rsidR="00A85D24" w:rsidRDefault="00BF4EEA" w14:paraId="3D54C64E" w14:textId="77777777">
      <w:pPr>
        <w:pStyle w:val="Body"/>
        <w:rPr>
          <w:b/>
          <w:bCs/>
        </w:rPr>
      </w:pPr>
      <w:r>
        <w:rPr>
          <w:b/>
          <w:bCs/>
        </w:rPr>
        <w:t>Our strategic objectives</w:t>
      </w:r>
    </w:p>
    <w:p w:rsidR="00A85D24" w:rsidRDefault="00BF4EEA" w14:paraId="784875B3" w14:textId="77777777">
      <w:pPr>
        <w:pStyle w:val="Body"/>
      </w:pPr>
      <w:r>
        <w:t>We work towards a consumer-</w:t>
      </w:r>
      <w:proofErr w:type="spellStart"/>
      <w:r>
        <w:t>focussed</w:t>
      </w:r>
      <w:proofErr w:type="spellEnd"/>
      <w:r>
        <w:t xml:space="preserve"> health system by </w:t>
      </w:r>
      <w:proofErr w:type="spellStart"/>
      <w:r>
        <w:t>focussing</w:t>
      </w:r>
      <w:proofErr w:type="spellEnd"/>
      <w:r>
        <w:t xml:space="preserve"> effort on three objectives.</w:t>
      </w:r>
    </w:p>
    <w:p w:rsidR="00A85D24" w:rsidRDefault="00A85D24" w14:paraId="0ED84C4A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6126"/>
        <w:gridCol w:w="1747"/>
      </w:tblGrid>
      <w:tr w:rsidR="00A85D24" w:rsidTr="027F2D14" w14:paraId="09BE45A9" w14:textId="77777777">
        <w:trPr>
          <w:trHeight w:val="295"/>
        </w:trPr>
        <w:tc>
          <w:tcPr>
            <w:tcW w:w="963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1AF37AE4" w14:textId="77777777">
            <w:pPr>
              <w:pStyle w:val="Body"/>
            </w:pPr>
            <w:r>
              <w:rPr>
                <w:b/>
                <w:bCs/>
              </w:rPr>
              <w:t>OBJECTIVE 1: Consumers leading health</w:t>
            </w:r>
          </w:p>
        </w:tc>
      </w:tr>
      <w:tr w:rsidR="00A85D24" w:rsidTr="027F2D14" w14:paraId="7BD8E48A" w14:textId="77777777">
        <w:trPr>
          <w:trHeight w:val="295"/>
        </w:trPr>
        <w:tc>
          <w:tcPr>
            <w:tcW w:w="175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63832D26" w14:textId="77777777">
            <w:pPr>
              <w:pStyle w:val="TableStyle2"/>
            </w:pPr>
            <w:r>
              <w:rPr>
                <w:rFonts w:eastAsia="Arial Unicode MS" w:cs="Arial Unicode MS"/>
              </w:rPr>
              <w:t>Intent</w:t>
            </w:r>
          </w:p>
        </w:tc>
        <w:tc>
          <w:tcPr>
            <w:tcW w:w="612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3A67F2F5" w14:textId="77777777">
            <w:pPr>
              <w:pStyle w:val="TableStyle2"/>
            </w:pPr>
            <w:r>
              <w:rPr>
                <w:rFonts w:eastAsia="Arial Unicode MS" w:cs="Arial Unicode MS"/>
              </w:rPr>
              <w:t>Initiatives</w:t>
            </w:r>
          </w:p>
        </w:tc>
        <w:tc>
          <w:tcPr>
            <w:tcW w:w="17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40E066EA" w14:textId="77777777">
            <w:pPr>
              <w:pStyle w:val="TableStyle2"/>
            </w:pPr>
            <w:r>
              <w:rPr>
                <w:rFonts w:eastAsia="Arial Unicode MS" w:cs="Arial Unicode MS"/>
              </w:rPr>
              <w:t>Key Results</w:t>
            </w:r>
          </w:p>
        </w:tc>
      </w:tr>
      <w:tr w:rsidR="00A85D24" w:rsidTr="027F2D14" w14:paraId="2C48484B" w14:textId="77777777">
        <w:trPr>
          <w:trHeight w:val="1203"/>
        </w:trPr>
        <w:tc>
          <w:tcPr>
            <w:tcW w:w="175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4AC4718D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In order to strengthen meaningful, authentic</w:t>
            </w:r>
            <w:r w:rsidRPr="027F2D14">
              <w:rPr>
                <w:sz w:val="16"/>
                <w:szCs w:val="16"/>
                <w:lang w:val="en-US"/>
              </w:rPr>
              <w:t xml:space="preserve"> and valid consumer participation and leadership at all levels of the health system </w:t>
            </w:r>
          </w:p>
        </w:tc>
        <w:tc>
          <w:tcPr>
            <w:tcW w:w="6126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6D450BF5" w14:textId="77777777">
            <w:pPr>
              <w:pStyle w:val="TableStyle2"/>
            </w:pPr>
            <w:r>
              <w:rPr>
                <w:sz w:val="16"/>
                <w:szCs w:val="16"/>
              </w:rPr>
              <w:t>1.1. Extend reach and relevance of consumer voice by engaging with diverse perspectives / interests:</w:t>
            </w:r>
          </w:p>
          <w:p w:rsidR="00A85D24" w:rsidRDefault="00BF4EEA" w14:paraId="0CE898C3" w14:textId="77777777">
            <w:pPr>
              <w:pStyle w:val="TableStyle2"/>
            </w:pPr>
            <w:r>
              <w:rPr>
                <w:sz w:val="16"/>
                <w:szCs w:val="16"/>
              </w:rPr>
              <w:t>•  Partner with diverse consumer bodies and stakeholders with aligned interests</w:t>
            </w:r>
          </w:p>
          <w:p w:rsidR="00A85D24" w:rsidRDefault="00BF4EEA" w14:paraId="523933C0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•  Optimise collaborative effort by linking to existing consumer fora and platforms</w:t>
            </w:r>
          </w:p>
          <w:p w:rsidR="00A85D24" w:rsidRDefault="00BF4EEA" w14:paraId="77832E74" w14:textId="77777777">
            <w:pPr>
              <w:pStyle w:val="TableStyle2"/>
            </w:pPr>
            <w:r>
              <w:rPr>
                <w:sz w:val="16"/>
                <w:szCs w:val="16"/>
              </w:rPr>
              <w:t>•  Partner with consumer and other representatives on matters affiliated with CHF’s key issues </w:t>
            </w:r>
          </w:p>
          <w:p w:rsidR="00A85D24" w:rsidRDefault="00BF4EEA" w14:paraId="7E9A12F2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 1.2  Develop consumer leadership capability:</w:t>
            </w:r>
          </w:p>
          <w:p w:rsidR="00A85D24" w:rsidRDefault="00BF4EEA" w14:paraId="77D5C306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•   Build health workforce skills and expertise in working alongside consumers</w:t>
            </w:r>
          </w:p>
          <w:p w:rsidR="00A85D24" w:rsidRDefault="00BF4EEA" w14:paraId="5EA7B9C9" w14:textId="77777777">
            <w:pPr>
              <w:pStyle w:val="TableStyle2"/>
            </w:pPr>
            <w:r>
              <w:rPr>
                <w:sz w:val="16"/>
                <w:szCs w:val="16"/>
              </w:rPr>
              <w:t>•  Create greater representative and leadership capability amongst consumer representatives</w:t>
            </w:r>
          </w:p>
          <w:p w:rsidR="00A85D24" w:rsidRDefault="00BF4EEA" w14:paraId="638F308E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 1.3  Continue to build systems of engagement with consumers:</w:t>
            </w:r>
          </w:p>
          <w:p w:rsidR="00A85D24" w:rsidRDefault="00BF4EEA" w14:paraId="07469DF1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• Develop and contribute to systematised methods of consumer engagement both existing and emerging e.g., PHNs</w:t>
            </w:r>
          </w:p>
          <w:p w:rsidR="00A85D24" w:rsidRDefault="00BF4EEA" w14:paraId="3B25DEAC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 xml:space="preserve">• Develop digital engagement methods, especially utilising peer-to-peer models </w:t>
            </w:r>
          </w:p>
        </w:tc>
        <w:tc>
          <w:tcPr>
            <w:tcW w:w="1746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36DC4833" w14:textId="77777777">
            <w:pPr>
              <w:pStyle w:val="TableStyle2"/>
              <w:spacing w:after="120"/>
            </w:pPr>
            <w:r>
              <w:rPr>
                <w:sz w:val="16"/>
                <w:szCs w:val="16"/>
              </w:rPr>
              <w:t>Engagement reach</w:t>
            </w:r>
          </w:p>
          <w:p w:rsidR="00A85D24" w:rsidRDefault="00BF4EEA" w14:paraId="3BCA8C97" w14:textId="77777777">
            <w:pPr>
              <w:pStyle w:val="TableStyle2"/>
              <w:spacing w:after="120"/>
            </w:pPr>
            <w:r>
              <w:rPr>
                <w:sz w:val="16"/>
                <w:szCs w:val="16"/>
              </w:rPr>
              <w:t>Authentic engagement Credibility amongst consumers</w:t>
            </w:r>
          </w:p>
          <w:p w:rsidR="00A85D24" w:rsidRDefault="00BF4EEA" w14:paraId="6480624E" w14:textId="77777777">
            <w:pPr>
              <w:pStyle w:val="TableStyle2"/>
              <w:spacing w:after="120"/>
            </w:pPr>
            <w:r>
              <w:rPr>
                <w:sz w:val="16"/>
                <w:szCs w:val="16"/>
              </w:rPr>
              <w:t xml:space="preserve">Detection of consumer sentiment </w:t>
            </w:r>
          </w:p>
        </w:tc>
      </w:tr>
      <w:tr w:rsidR="00A85D24" w:rsidTr="027F2D14" w14:paraId="1CC0522A" w14:textId="77777777">
        <w:trPr>
          <w:trHeight w:val="1440"/>
        </w:trPr>
        <w:tc>
          <w:tcPr>
            <w:tcW w:w="175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6C0A25AF" w14:textId="77777777">
            <w:pPr>
              <w:pStyle w:val="TableStyle2"/>
            </w:pPr>
            <w:r>
              <w:rPr>
                <w:sz w:val="16"/>
                <w:szCs w:val="16"/>
              </w:rPr>
              <w:t>We will build consumers’ capabilities and shape norms relating to consumer engagement</w:t>
            </w:r>
          </w:p>
        </w:tc>
        <w:tc>
          <w:tcPr>
            <w:tcW w:w="6126" w:type="dxa"/>
            <w:vMerge/>
          </w:tcPr>
          <w:p w:rsidR="00A85D24" w:rsidRDefault="00A85D24" w14:paraId="5C548C81" w14:textId="77777777"/>
        </w:tc>
        <w:tc>
          <w:tcPr>
            <w:tcW w:w="1746" w:type="dxa"/>
            <w:vMerge/>
          </w:tcPr>
          <w:p w:rsidR="00A85D24" w:rsidRDefault="00A85D24" w14:paraId="329F1A4A" w14:textId="77777777"/>
        </w:tc>
      </w:tr>
    </w:tbl>
    <w:p w:rsidR="00A85D24" w:rsidRDefault="00A85D24" w14:paraId="191CE176" w14:textId="77777777">
      <w:pPr>
        <w:pStyle w:val="Body"/>
      </w:pPr>
    </w:p>
    <w:p w:rsidR="00A85D24" w:rsidRDefault="00A85D24" w14:paraId="04023B4C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5775"/>
        <w:gridCol w:w="1829"/>
      </w:tblGrid>
      <w:tr w:rsidR="00A85D24" w:rsidTr="027F2D14" w14:paraId="53E36A2F" w14:textId="77777777">
        <w:trPr>
          <w:trHeight w:val="295"/>
        </w:trPr>
        <w:tc>
          <w:tcPr>
            <w:tcW w:w="963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64A97466" w14:textId="77777777">
            <w:pPr>
              <w:pStyle w:val="Body"/>
            </w:pPr>
            <w:r>
              <w:rPr>
                <w:b/>
                <w:bCs/>
              </w:rPr>
              <w:t>OBJECTIVE 2: Advocating for impact</w:t>
            </w:r>
          </w:p>
        </w:tc>
      </w:tr>
      <w:tr w:rsidR="00A85D24" w:rsidTr="027F2D14" w14:paraId="07739175" w14:textId="77777777">
        <w:trPr>
          <w:trHeight w:val="295"/>
        </w:trPr>
        <w:tc>
          <w:tcPr>
            <w:tcW w:w="202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566D73F3" w14:textId="77777777">
            <w:pPr>
              <w:pStyle w:val="TableStyle2"/>
            </w:pPr>
            <w:r>
              <w:rPr>
                <w:rFonts w:eastAsia="Arial Unicode MS" w:cs="Arial Unicode MS"/>
              </w:rPr>
              <w:t>Intent</w:t>
            </w:r>
          </w:p>
        </w:tc>
        <w:tc>
          <w:tcPr>
            <w:tcW w:w="577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40061A2D" w14:textId="77777777">
            <w:pPr>
              <w:pStyle w:val="TableStyle2"/>
            </w:pPr>
            <w:r>
              <w:rPr>
                <w:rFonts w:eastAsia="Arial Unicode MS" w:cs="Arial Unicode MS"/>
              </w:rPr>
              <w:t>Initiatives</w:t>
            </w:r>
          </w:p>
        </w:tc>
        <w:tc>
          <w:tcPr>
            <w:tcW w:w="182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45271593" w14:textId="77777777">
            <w:pPr>
              <w:pStyle w:val="TableStyle2"/>
            </w:pPr>
            <w:r>
              <w:rPr>
                <w:rFonts w:eastAsia="Arial Unicode MS" w:cs="Arial Unicode MS"/>
              </w:rPr>
              <w:t>Key Results</w:t>
            </w:r>
          </w:p>
        </w:tc>
      </w:tr>
      <w:tr w:rsidR="00A85D24" w:rsidTr="027F2D14" w14:paraId="55650FF3" w14:textId="77777777">
        <w:trPr>
          <w:trHeight w:val="1203"/>
        </w:trPr>
        <w:tc>
          <w:tcPr>
            <w:tcW w:w="202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779FDBF0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In order to</w:t>
            </w:r>
            <w:r w:rsidRPr="027F2D14">
              <w:rPr>
                <w:sz w:val="16"/>
                <w:szCs w:val="16"/>
                <w:lang w:val="en-US"/>
              </w:rPr>
              <w:t xml:space="preserve"> set, and contribute to, agendas and solutions for a consumer-centred health system</w:t>
            </w:r>
          </w:p>
          <w:p w:rsidR="00A85D24" w:rsidRDefault="00A85D24" w14:paraId="4AC58D5C" w14:textId="77777777">
            <w:pPr>
              <w:pStyle w:val="TableStyle2"/>
            </w:pPr>
          </w:p>
        </w:tc>
        <w:tc>
          <w:tcPr>
            <w:tcW w:w="5775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17CCCFFA" w14:textId="77777777">
            <w:pPr>
              <w:pStyle w:val="TableStyle2"/>
            </w:pPr>
            <w:r>
              <w:rPr>
                <w:sz w:val="16"/>
                <w:szCs w:val="16"/>
              </w:rPr>
              <w:t>2.1 Strengthen the efficacy and impact of CHF’s representation:</w:t>
            </w:r>
          </w:p>
          <w:p w:rsidR="00A85D24" w:rsidRDefault="00BF4EEA" w14:paraId="27535D39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- Strengthen definitions and roles of health consumers and normalise consumer representation</w:t>
            </w:r>
          </w:p>
          <w:p w:rsidR="00A85D24" w:rsidRDefault="00BF4EEA" w14:paraId="442C1E69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 xml:space="preserve">- Identify and aggregate data sources to create compelling advocacy positions </w:t>
            </w:r>
          </w:p>
          <w:p w:rsidR="00A85D24" w:rsidRDefault="00BF4EEA" w14:paraId="6B977FA7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- Co-brand with leading and peak organisations to extend reach and resonance</w:t>
            </w:r>
          </w:p>
          <w:p w:rsidR="00A85D24" w:rsidRDefault="00BF4EEA" w14:paraId="2E091DE2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 2.2  Deliberate strategic partnerships and agenda creation</w:t>
            </w:r>
          </w:p>
          <w:p w:rsidR="00A85D24" w:rsidRDefault="00BF4EEA" w14:paraId="2ECC3674" w14:textId="77777777">
            <w:pPr>
              <w:pStyle w:val="TableStyle2"/>
            </w:pPr>
            <w:r>
              <w:rPr>
                <w:sz w:val="16"/>
                <w:szCs w:val="16"/>
              </w:rPr>
              <w:t>- Deliberately create strong agendas for action against key issues, and map long-term strategic relationships to achieve these</w:t>
            </w:r>
          </w:p>
          <w:p w:rsidR="00A85D24" w:rsidRDefault="00BF4EEA" w14:paraId="6B51C153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- Identify and leverage political and public sector interests in key issues</w:t>
            </w:r>
          </w:p>
          <w:p w:rsidR="00A85D24" w:rsidRDefault="00BF4EEA" w14:paraId="3A728E68" w14:textId="77777777">
            <w:pPr>
              <w:pStyle w:val="TableStyle2"/>
            </w:pPr>
            <w:r>
              <w:rPr>
                <w:sz w:val="16"/>
                <w:szCs w:val="16"/>
              </w:rPr>
              <w:t>- Partner across the full range of sectors relevant to consumers’ interests within our key issues</w:t>
            </w:r>
          </w:p>
        </w:tc>
        <w:tc>
          <w:tcPr>
            <w:tcW w:w="1829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57CDEBFE" w14:textId="77777777">
            <w:pPr>
              <w:pStyle w:val="TableStyle2"/>
              <w:spacing w:after="60"/>
            </w:pPr>
            <w:r>
              <w:rPr>
                <w:sz w:val="16"/>
                <w:szCs w:val="16"/>
              </w:rPr>
              <w:t xml:space="preserve">Access to influential decision-making fora </w:t>
            </w:r>
          </w:p>
          <w:p w:rsidR="00A85D24" w:rsidRDefault="00BF4EEA" w14:paraId="11E362AB" w14:textId="77777777">
            <w:pPr>
              <w:pStyle w:val="TableStyle2"/>
              <w:spacing w:after="60"/>
            </w:pPr>
            <w:r>
              <w:rPr>
                <w:sz w:val="16"/>
                <w:szCs w:val="16"/>
              </w:rPr>
              <w:t>New concepts into circulation</w:t>
            </w:r>
          </w:p>
          <w:p w:rsidR="00A85D24" w:rsidRDefault="00BF4EEA" w14:paraId="5B4CE31B" w14:textId="77777777">
            <w:pPr>
              <w:pStyle w:val="TableStyle2"/>
              <w:spacing w:after="60"/>
            </w:pPr>
            <w:r>
              <w:rPr>
                <w:sz w:val="16"/>
                <w:szCs w:val="16"/>
              </w:rPr>
              <w:t>Citation</w:t>
            </w:r>
          </w:p>
          <w:p w:rsidR="00A85D24" w:rsidRDefault="00BF4EEA" w14:paraId="2FB16A5C" w14:textId="77777777">
            <w:pPr>
              <w:pStyle w:val="TableStyle2"/>
              <w:spacing w:after="60"/>
            </w:pPr>
            <w:r>
              <w:rPr>
                <w:sz w:val="16"/>
                <w:szCs w:val="16"/>
              </w:rPr>
              <w:t xml:space="preserve">Consequential action arising from advocacy </w:t>
            </w:r>
          </w:p>
          <w:p w:rsidR="00A85D24" w:rsidRDefault="00BF4EEA" w14:paraId="444A264F" w14:textId="77777777">
            <w:pPr>
              <w:pStyle w:val="TableStyle2"/>
              <w:spacing w:after="60"/>
            </w:pPr>
            <w:r>
              <w:rPr>
                <w:sz w:val="16"/>
                <w:szCs w:val="16"/>
              </w:rPr>
              <w:t>High impact, high leverage initiatives</w:t>
            </w:r>
          </w:p>
          <w:p w:rsidR="00A85D24" w:rsidRDefault="00BF4EEA" w14:paraId="6BAC8B33" w14:textId="77777777">
            <w:pPr>
              <w:pStyle w:val="TableStyle2"/>
              <w:spacing w:after="60"/>
            </w:pPr>
            <w:r w:rsidRPr="027F2D14">
              <w:rPr>
                <w:sz w:val="16"/>
                <w:szCs w:val="16"/>
                <w:lang w:val="en-US"/>
              </w:rPr>
              <w:t xml:space="preserve">Number of partners x influencing capacity </w:t>
            </w:r>
          </w:p>
        </w:tc>
      </w:tr>
      <w:tr w:rsidR="00A85D24" w:rsidTr="027F2D14" w14:paraId="1394EE28" w14:textId="77777777">
        <w:trPr>
          <w:trHeight w:val="1403"/>
        </w:trPr>
        <w:tc>
          <w:tcPr>
            <w:tcW w:w="202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2121B0D3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 xml:space="preserve">We will draw from consumer insights to make credible, authoritative and influential contributions to national policy and system design </w:t>
            </w:r>
          </w:p>
        </w:tc>
        <w:tc>
          <w:tcPr>
            <w:tcW w:w="5775" w:type="dxa"/>
            <w:vMerge/>
          </w:tcPr>
          <w:p w:rsidR="00A85D24" w:rsidRDefault="00A85D24" w14:paraId="24895670" w14:textId="77777777"/>
        </w:tc>
        <w:tc>
          <w:tcPr>
            <w:tcW w:w="1829" w:type="dxa"/>
            <w:vMerge/>
          </w:tcPr>
          <w:p w:rsidR="00A85D24" w:rsidRDefault="00A85D24" w14:paraId="43C5BA9D" w14:textId="77777777"/>
        </w:tc>
      </w:tr>
    </w:tbl>
    <w:p w:rsidR="00A85D24" w:rsidRDefault="00A85D24" w14:paraId="53813532" w14:textId="77777777">
      <w:pPr>
        <w:pStyle w:val="Body"/>
      </w:pPr>
    </w:p>
    <w:p w:rsidR="00A85D24" w:rsidRDefault="00A85D24" w14:paraId="1EE28FA4" w14:textId="77777777">
      <w:pPr>
        <w:pStyle w:val="Body"/>
      </w:pPr>
    </w:p>
    <w:tbl>
      <w:tblPr>
        <w:tblW w:w="963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5822"/>
        <w:gridCol w:w="1778"/>
      </w:tblGrid>
      <w:tr w:rsidR="00A85D24" w:rsidTr="1CFB01E7" w14:paraId="3511B754" w14:textId="77777777">
        <w:trPr>
          <w:trHeight w:val="295"/>
        </w:trPr>
        <w:tc>
          <w:tcPr>
            <w:tcW w:w="963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74AD3D33" w14:textId="77777777">
            <w:pPr>
              <w:pStyle w:val="Body"/>
            </w:pPr>
            <w:r>
              <w:rPr>
                <w:b/>
                <w:bCs/>
              </w:rPr>
              <w:t xml:space="preserve">OBJECTIVE 3: An adaptable and visible organisation </w:t>
            </w:r>
          </w:p>
        </w:tc>
      </w:tr>
      <w:tr w:rsidR="00A85D24" w:rsidTr="1CFB01E7" w14:paraId="7CA7F61C" w14:textId="77777777">
        <w:trPr>
          <w:trHeight w:val="295"/>
        </w:trPr>
        <w:tc>
          <w:tcPr>
            <w:tcW w:w="203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03B2D747" w14:textId="77777777">
            <w:pPr>
              <w:pStyle w:val="TableStyle2"/>
            </w:pPr>
            <w:r>
              <w:rPr>
                <w:rFonts w:eastAsia="Arial Unicode MS" w:cs="Arial Unicode MS"/>
              </w:rPr>
              <w:t>Intent</w:t>
            </w:r>
          </w:p>
        </w:tc>
        <w:tc>
          <w:tcPr>
            <w:tcW w:w="582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7EF97663" w14:textId="77777777">
            <w:pPr>
              <w:pStyle w:val="TableStyle2"/>
            </w:pPr>
            <w:r>
              <w:rPr>
                <w:rFonts w:eastAsia="Arial Unicode MS" w:cs="Arial Unicode MS"/>
              </w:rPr>
              <w:t>Initiatives</w:t>
            </w:r>
          </w:p>
        </w:tc>
        <w:tc>
          <w:tcPr>
            <w:tcW w:w="177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433FABA0" w14:textId="77777777">
            <w:pPr>
              <w:pStyle w:val="TableStyle2"/>
            </w:pPr>
            <w:r>
              <w:rPr>
                <w:rFonts w:eastAsia="Arial Unicode MS" w:cs="Arial Unicode MS"/>
              </w:rPr>
              <w:t>Key Results</w:t>
            </w:r>
          </w:p>
        </w:tc>
      </w:tr>
      <w:tr w:rsidR="00A85D24" w:rsidTr="1CFB01E7" w14:paraId="55BA2C38" w14:textId="77777777">
        <w:trPr>
          <w:trHeight w:val="803"/>
        </w:trPr>
        <w:tc>
          <w:tcPr>
            <w:tcW w:w="203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529979F8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>In order to maintain</w:t>
            </w:r>
            <w:r w:rsidRPr="027F2D14">
              <w:rPr>
                <w:sz w:val="16"/>
                <w:szCs w:val="16"/>
                <w:lang w:val="en-US"/>
              </w:rPr>
              <w:t xml:space="preserve"> and grow strong member support and capacity to enact desired change</w:t>
            </w:r>
          </w:p>
        </w:tc>
        <w:tc>
          <w:tcPr>
            <w:tcW w:w="5822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64E90B37" w14:textId="77777777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3.1 Develop offerings that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capitalis</w:t>
            </w:r>
            <w:proofErr w:type="spellEnd"/>
            <w:r>
              <w:rPr>
                <w:sz w:val="16"/>
                <w:szCs w:val="16"/>
                <w:lang w:val="en-US"/>
              </w:rPr>
              <w:t>e on CHF</w:t>
            </w:r>
            <w:r>
              <w:rPr>
                <w:sz w:val="16"/>
                <w:szCs w:val="16"/>
                <w:rtl/>
              </w:rPr>
              <w:t>’</w:t>
            </w:r>
            <w:r>
              <w:rPr>
                <w:sz w:val="16"/>
                <w:szCs w:val="16"/>
                <w:lang w:val="en-US"/>
              </w:rPr>
              <w:t>s best practice consumer leadership:</w:t>
            </w:r>
          </w:p>
          <w:p w:rsidR="00A85D24" w:rsidRDefault="00BF4EEA" w14:paraId="5B601AF0" w14:textId="77777777">
            <w:pPr>
              <w:pStyle w:val="TableStyle2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Develop exemplars and convert to IP</w:t>
            </w:r>
          </w:p>
          <w:p w:rsidR="00A85D24" w:rsidRDefault="00BF4EEA" w14:paraId="10F660DA" w14:textId="77777777">
            <w:pPr>
              <w:pStyle w:val="TableStyle2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Actively connect health system designers and owners with consumers</w:t>
            </w:r>
          </w:p>
          <w:p w:rsidR="00A85D24" w:rsidRDefault="00BF4EEA" w14:paraId="56EE41BE" w14:textId="77777777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 xml:space="preserve">2 Heighten organisational capacity and </w:t>
            </w:r>
            <w:proofErr w:type="spellStart"/>
            <w:r>
              <w:rPr>
                <w:sz w:val="16"/>
                <w:szCs w:val="16"/>
              </w:rPr>
              <w:t>capabil</w:t>
            </w:r>
            <w:r>
              <w:rPr>
                <w:sz w:val="16"/>
                <w:szCs w:val="16"/>
                <w:lang w:val="en-US"/>
              </w:rPr>
              <w:t>ity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A85D24" w:rsidRDefault="00BF4EEA" w14:paraId="0D5CF8DB" w14:textId="77777777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- Review and strengthen member value proposition </w:t>
            </w:r>
          </w:p>
          <w:p w:rsidR="00A85D24" w:rsidRDefault="00BF4EEA" w14:paraId="42C3B370" w14:textId="77777777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 Build digital methods for engagement, data aggregation and communication</w:t>
            </w:r>
          </w:p>
          <w:p w:rsidR="00A85D24" w:rsidRDefault="00BF4EEA" w14:paraId="68C7AD45" w14:textId="77777777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 Further grow staff and consumer capacity to influence</w:t>
            </w:r>
            <w:r>
              <w:rPr>
                <w:sz w:val="16"/>
                <w:szCs w:val="16"/>
              </w:rPr>
              <w:t xml:space="preserve"> </w:t>
            </w:r>
          </w:p>
          <w:p w:rsidR="00A85D24" w:rsidRDefault="00BF4EEA" w14:paraId="4F4F2B3F" w14:textId="77777777">
            <w:pPr>
              <w:pStyle w:val="TableStyl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 Stabilise and grow financial resilience:</w:t>
            </w:r>
          </w:p>
          <w:p w:rsidR="00A85D24" w:rsidRDefault="00BF4EEA" w14:paraId="2B3B0168" w14:textId="77777777">
            <w:pPr>
              <w:pStyle w:val="TableStyle2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Develop varied income-generating services and offerings</w:t>
            </w:r>
          </w:p>
          <w:p w:rsidR="00A85D24" w:rsidRDefault="00BF4EEA" w14:paraId="11B1AD61" w14:textId="77777777">
            <w:pPr>
              <w:pStyle w:val="TableStyle2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Expand financial and in-kind corporate partnerships</w:t>
            </w:r>
          </w:p>
        </w:tc>
        <w:tc>
          <w:tcPr>
            <w:tcW w:w="1777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6855175C" w14:textId="77777777">
            <w:pPr>
              <w:pStyle w:val="TableStyle2"/>
              <w:spacing w:after="80"/>
            </w:pPr>
            <w:r>
              <w:rPr>
                <w:sz w:val="16"/>
                <w:szCs w:val="16"/>
              </w:rPr>
              <w:t>Member retention + satisfaction</w:t>
            </w:r>
          </w:p>
          <w:p w:rsidR="00A85D24" w:rsidRDefault="00BF4EEA" w14:paraId="236E1C4F" w14:textId="77777777">
            <w:pPr>
              <w:pStyle w:val="TableStyle2"/>
              <w:spacing w:after="80"/>
            </w:pPr>
            <w:r>
              <w:rPr>
                <w:sz w:val="16"/>
                <w:szCs w:val="16"/>
              </w:rPr>
              <w:t>Revenues x sources</w:t>
            </w:r>
          </w:p>
          <w:p w:rsidR="00A85D24" w:rsidRDefault="00BF4EEA" w14:paraId="5240CE27" w14:textId="77777777">
            <w:pPr>
              <w:pStyle w:val="TableStyle2"/>
              <w:spacing w:after="80"/>
            </w:pPr>
            <w:r>
              <w:rPr>
                <w:sz w:val="16"/>
                <w:szCs w:val="16"/>
              </w:rPr>
              <w:t xml:space="preserve">In-kind contributions </w:t>
            </w:r>
          </w:p>
          <w:p w:rsidR="00A85D24" w:rsidRDefault="00BF4EEA" w14:paraId="1B3184A3" w14:textId="4E275579">
            <w:pPr>
              <w:pStyle w:val="TableStyle2"/>
              <w:spacing w:after="80"/>
            </w:pPr>
            <w:r w:rsidRPr="1CFB01E7" w:rsidR="00BF4EEA">
              <w:rPr>
                <w:sz w:val="16"/>
                <w:szCs w:val="16"/>
              </w:rPr>
              <w:t>Staff capability</w:t>
            </w:r>
          </w:p>
        </w:tc>
      </w:tr>
      <w:tr w:rsidR="00A85D24" w:rsidTr="1CFB01E7" w14:paraId="237A9412" w14:textId="77777777">
        <w:trPr>
          <w:trHeight w:val="1240"/>
        </w:trPr>
        <w:tc>
          <w:tcPr>
            <w:tcW w:w="203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D24" w:rsidRDefault="00BF4EEA" w14:paraId="623F335D" w14:textId="77777777">
            <w:pPr>
              <w:pStyle w:val="TableStyle2"/>
            </w:pPr>
            <w:r w:rsidRPr="027F2D14">
              <w:rPr>
                <w:sz w:val="16"/>
                <w:szCs w:val="16"/>
                <w:lang w:val="en-US"/>
              </w:rPr>
              <w:t xml:space="preserve">We will strengthen our organisational resilience, agility and capacity </w:t>
            </w:r>
          </w:p>
        </w:tc>
        <w:tc>
          <w:tcPr>
            <w:tcW w:w="5822" w:type="dxa"/>
            <w:vMerge/>
            <w:tcMar/>
          </w:tcPr>
          <w:p w:rsidR="00A85D24" w:rsidRDefault="00A85D24" w14:paraId="2DA25A84" w14:textId="77777777"/>
        </w:tc>
        <w:tc>
          <w:tcPr>
            <w:tcW w:w="1777" w:type="dxa"/>
            <w:vMerge/>
            <w:tcMar/>
          </w:tcPr>
          <w:p w:rsidR="00A85D24" w:rsidRDefault="00A85D24" w14:paraId="48774ABA" w14:textId="77777777"/>
        </w:tc>
      </w:tr>
    </w:tbl>
    <w:p w:rsidR="00A85D24" w:rsidRDefault="00A85D24" w14:paraId="308F297E" w14:textId="77777777">
      <w:pPr>
        <w:pStyle w:val="Body"/>
      </w:pPr>
    </w:p>
    <w:sectPr w:rsidR="00A85D24">
      <w:headerReference w:type="default" r:id="rId10"/>
      <w:footerReference w:type="default" r:id="rId11"/>
      <w:pgSz w:w="11906" w:h="16838" w:orient="portrait"/>
      <w:pgMar w:top="720" w:right="1134" w:bottom="720" w:left="1134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B8A" w:rsidRDefault="00B53B8A" w14:paraId="6752BFFD" w14:textId="77777777">
      <w:r>
        <w:separator/>
      </w:r>
    </w:p>
  </w:endnote>
  <w:endnote w:type="continuationSeparator" w:id="0">
    <w:p w:rsidR="00B53B8A" w:rsidRDefault="00B53B8A" w14:paraId="409822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D24" w:rsidRDefault="00A85D24" w14:paraId="4DEC1A5C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B8A" w:rsidRDefault="00B53B8A" w14:paraId="5663EFE8" w14:textId="77777777">
      <w:r>
        <w:separator/>
      </w:r>
    </w:p>
  </w:footnote>
  <w:footnote w:type="continuationSeparator" w:id="0">
    <w:p w:rsidR="00B53B8A" w:rsidRDefault="00B53B8A" w14:paraId="7AFD75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D24" w:rsidRDefault="00A85D24" w14:paraId="6835E36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C0"/>
    <w:multiLevelType w:val="hybridMultilevel"/>
    <w:tmpl w:val="32C62EDE"/>
    <w:lvl w:ilvl="0" w:tplc="3F9A7EC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D236D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D85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01A3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E006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CC4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4CD1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41F3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61B6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7649A5"/>
    <w:multiLevelType w:val="hybridMultilevel"/>
    <w:tmpl w:val="EC4CD058"/>
    <w:lvl w:ilvl="0" w:tplc="731A40A6">
      <w:start w:val="1"/>
      <w:numFmt w:val="bullet"/>
      <w:lvlText w:val="-"/>
      <w:lvlJc w:val="left"/>
      <w:pPr>
        <w:ind w:left="1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AFEC7C08">
      <w:start w:val="1"/>
      <w:numFmt w:val="bullet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9AC0207A">
      <w:start w:val="1"/>
      <w:numFmt w:val="bullet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2D0C7EB0">
      <w:start w:val="1"/>
      <w:numFmt w:val="bullet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82F2E204">
      <w:start w:val="1"/>
      <w:numFmt w:val="bullet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65EEF3B6">
      <w:start w:val="1"/>
      <w:numFmt w:val="bullet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4E0ED02E">
      <w:start w:val="1"/>
      <w:numFmt w:val="bullet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12FCB2FE">
      <w:start w:val="1"/>
      <w:numFmt w:val="bullet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505C696E">
      <w:start w:val="1"/>
      <w:numFmt w:val="bullet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 w16cid:durableId="360742502">
    <w:abstractNumId w:val="0"/>
  </w:num>
  <w:num w:numId="2" w16cid:durableId="46531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24"/>
    <w:rsid w:val="00092ACA"/>
    <w:rsid w:val="005B1336"/>
    <w:rsid w:val="00A85D24"/>
    <w:rsid w:val="00B53B8A"/>
    <w:rsid w:val="00BF4EEA"/>
    <w:rsid w:val="027F2D14"/>
    <w:rsid w:val="1C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541F6"/>
  <w15:docId w15:val="{57E55283-D9B2-0341-92B5-43A60C5A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rPr>
      <w:rFonts w:ascii="Helvetica Neue" w:hAnsi="Helvetica Neue" w:eastAsia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f27a0-7b79-4cd6-9bbb-d0e55fc17e38">
      <Terms xmlns="http://schemas.microsoft.com/office/infopath/2007/PartnerControls"/>
    </lcf76f155ced4ddcb4097134ff3c332f>
    <TaxCatchAll xmlns="0f4bdde2-1fd3-49de-b520-3a54132a75ca" xsi:nil="true"/>
    <_Flow_SignoffStatus xmlns="26bf27a0-7b79-4cd6-9bbb-d0e55fc17e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8C6DF90FF8C4F85F2E8DD9FC510D6" ma:contentTypeVersion="17" ma:contentTypeDescription="Create a new document." ma:contentTypeScope="" ma:versionID="cf6960216a372f2148cb453d23699586">
  <xsd:schema xmlns:xsd="http://www.w3.org/2001/XMLSchema" xmlns:xs="http://www.w3.org/2001/XMLSchema" xmlns:p="http://schemas.microsoft.com/office/2006/metadata/properties" xmlns:ns2="26bf27a0-7b79-4cd6-9bbb-d0e55fc17e38" xmlns:ns3="0f4bdde2-1fd3-49de-b520-3a54132a75ca" targetNamespace="http://schemas.microsoft.com/office/2006/metadata/properties" ma:root="true" ma:fieldsID="eb30d7cd5228f6e0fd76cf8d5f3b0816" ns2:_="" ns3:_="">
    <xsd:import namespace="26bf27a0-7b79-4cd6-9bbb-d0e55fc17e38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f27a0-7b79-4cd6-9bbb-d0e55fc1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A36F8-62DB-4845-A799-AA4E2911A734}">
  <ds:schemaRefs>
    <ds:schemaRef ds:uri="http://schemas.microsoft.com/office/2006/metadata/properties"/>
    <ds:schemaRef ds:uri="http://schemas.microsoft.com/office/infopath/2007/PartnerControls"/>
    <ds:schemaRef ds:uri="26bf27a0-7b79-4cd6-9bbb-d0e55fc17e38"/>
    <ds:schemaRef ds:uri="0f4bdde2-1fd3-49de-b520-3a54132a75ca"/>
  </ds:schemaRefs>
</ds:datastoreItem>
</file>

<file path=customXml/itemProps2.xml><?xml version="1.0" encoding="utf-8"?>
<ds:datastoreItem xmlns:ds="http://schemas.openxmlformats.org/officeDocument/2006/customXml" ds:itemID="{8B8A282D-C3D4-428D-A1B2-C6D5BF6F8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4652B-7031-4C4A-BECB-0503C4E6F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f27a0-7b79-4cd6-9bbb-d0e55fc17e38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Shannan Osrin</lastModifiedBy>
  <revision>4</revision>
  <lastPrinted>2024-01-12T01:01:00.0000000Z</lastPrinted>
  <dcterms:created xsi:type="dcterms:W3CDTF">2024-12-16T02:54:00.0000000Z</dcterms:created>
  <dcterms:modified xsi:type="dcterms:W3CDTF">2024-12-16T02:55:26.5791484Z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0x0101004628C6DF90FF8C4F85F2E8DD9FC510D6</vt:lpwstr>
  </property>
  <property fmtid="{D5CDD505-2E9C-101B-9397-08002B2CF9AE}" pid="3" name="MediaServiceImageTags">
    <vt:lpwstr/>
  </property>
</Properties>
</file>