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22"/>
        <w:ind w:right="6915"/>
      </w:pPr>
      <w:r>
        <w:rPr/>
        <mc:AlternateContent>
          <mc:Choice Requires="wps">
            <w:drawing>
              <wp:anchor distT="0" distB="0" distL="0" distR="0" allowOverlap="1" layoutInCell="1" locked="0" behindDoc="1" simplePos="0" relativeHeight="487561728">
                <wp:simplePos x="0" y="0"/>
                <wp:positionH relativeFrom="page">
                  <wp:posOffset>13971</wp:posOffset>
                </wp:positionH>
                <wp:positionV relativeFrom="page">
                  <wp:posOffset>-4762</wp:posOffset>
                </wp:positionV>
                <wp:extent cx="7523480" cy="1069721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7523480" cy="10697210"/>
                          <a:chExt cx="7523480" cy="10697210"/>
                        </a:xfrm>
                      </wpg:grpSpPr>
                      <pic:pic>
                        <pic:nvPicPr>
                          <pic:cNvPr id="2" name="Image 2"/>
                          <pic:cNvPicPr/>
                        </pic:nvPicPr>
                        <pic:blipFill>
                          <a:blip r:embed="rId5" cstate="print"/>
                          <a:stretch>
                            <a:fillRect/>
                          </a:stretch>
                        </pic:blipFill>
                        <pic:spPr>
                          <a:xfrm>
                            <a:off x="0" y="4762"/>
                            <a:ext cx="860743" cy="10692381"/>
                          </a:xfrm>
                          <a:prstGeom prst="rect">
                            <a:avLst/>
                          </a:prstGeom>
                        </pic:spPr>
                      </pic:pic>
                      <wps:wsp>
                        <wps:cNvPr id="3" name="Graphic 3"/>
                        <wps:cNvSpPr/>
                        <wps:spPr>
                          <a:xfrm>
                            <a:off x="836293" y="4762"/>
                            <a:ext cx="6682105" cy="10673080"/>
                          </a:xfrm>
                          <a:custGeom>
                            <a:avLst/>
                            <a:gdLst/>
                            <a:ahLst/>
                            <a:cxnLst/>
                            <a:rect l="l" t="t" r="r" b="b"/>
                            <a:pathLst>
                              <a:path w="6682105" h="10673080">
                                <a:moveTo>
                                  <a:pt x="6682105" y="0"/>
                                </a:moveTo>
                                <a:lnTo>
                                  <a:pt x="0" y="0"/>
                                </a:lnTo>
                                <a:lnTo>
                                  <a:pt x="0" y="10673080"/>
                                </a:lnTo>
                                <a:lnTo>
                                  <a:pt x="6682105" y="10673080"/>
                                </a:lnTo>
                                <a:lnTo>
                                  <a:pt x="6682105" y="0"/>
                                </a:lnTo>
                                <a:close/>
                              </a:path>
                            </a:pathLst>
                          </a:custGeom>
                          <a:solidFill>
                            <a:srgbClr val="FFFFFF"/>
                          </a:solidFill>
                        </wps:spPr>
                        <wps:bodyPr wrap="square" lIns="0" tIns="0" rIns="0" bIns="0" rtlCol="0">
                          <a:prstTxWarp prst="textNoShape">
                            <a:avLst/>
                          </a:prstTxWarp>
                          <a:noAutofit/>
                        </wps:bodyPr>
                      </wps:wsp>
                      <wps:wsp>
                        <wps:cNvPr id="4" name="Graphic 4"/>
                        <wps:cNvSpPr/>
                        <wps:spPr>
                          <a:xfrm>
                            <a:off x="836293" y="4762"/>
                            <a:ext cx="6682105" cy="10673080"/>
                          </a:xfrm>
                          <a:custGeom>
                            <a:avLst/>
                            <a:gdLst/>
                            <a:ahLst/>
                            <a:cxnLst/>
                            <a:rect l="l" t="t" r="r" b="b"/>
                            <a:pathLst>
                              <a:path w="6682105" h="10673080">
                                <a:moveTo>
                                  <a:pt x="0" y="10673080"/>
                                </a:moveTo>
                                <a:lnTo>
                                  <a:pt x="6682105" y="10673080"/>
                                </a:lnTo>
                                <a:lnTo>
                                  <a:pt x="6682105" y="0"/>
                                </a:lnTo>
                                <a:lnTo>
                                  <a:pt x="0" y="0"/>
                                </a:lnTo>
                                <a:lnTo>
                                  <a:pt x="0" y="10673080"/>
                                </a:lnTo>
                                <a:close/>
                              </a:path>
                            </a:pathLst>
                          </a:custGeom>
                          <a:ln w="9525">
                            <a:solidFill>
                              <a:srgbClr val="FFFFFF"/>
                            </a:solidFill>
                            <a:prstDash val="solid"/>
                          </a:ln>
                        </wps:spPr>
                        <wps:bodyPr wrap="square" lIns="0" tIns="0" rIns="0" bIns="0" rtlCol="0">
                          <a:prstTxWarp prst="textNoShape">
                            <a:avLst/>
                          </a:prstTxWarp>
                          <a:noAutofit/>
                        </wps:bodyPr>
                      </wps:wsp>
                      <pic:pic>
                        <pic:nvPicPr>
                          <pic:cNvPr id="5" name="Image 5" descr="C:\Users\ALFREB\AppData\Local\Hewlett-Packard\HP TRIM\TEMP\HPTRIM.79496\D17-21608  Electronic Signature - Anne Duggan.JPG"/>
                          <pic:cNvPicPr/>
                        </pic:nvPicPr>
                        <pic:blipFill>
                          <a:blip r:embed="rId6" cstate="print"/>
                          <a:stretch>
                            <a:fillRect/>
                          </a:stretch>
                        </pic:blipFill>
                        <pic:spPr>
                          <a:xfrm>
                            <a:off x="1022348" y="8744902"/>
                            <a:ext cx="1571752" cy="481965"/>
                          </a:xfrm>
                          <a:prstGeom prst="rect">
                            <a:avLst/>
                          </a:prstGeom>
                        </pic:spPr>
                      </pic:pic>
                    </wpg:wgp>
                  </a:graphicData>
                </a:graphic>
              </wp:anchor>
            </w:drawing>
          </mc:Choice>
          <mc:Fallback>
            <w:pict>
              <v:group style="position:absolute;margin-left:1.1001pt;margin-top:-.375017pt;width:592.4pt;height:842.3pt;mso-position-horizontal-relative:page;mso-position-vertical-relative:page;z-index:-15754752" id="docshapegroup1" coordorigin="22,-8" coordsize="11848,16846">
                <v:shape style="position:absolute;left:22;top:0;width:1356;height:16839" type="#_x0000_t75" id="docshape2" stroked="false">
                  <v:imagedata r:id="rId5" o:title=""/>
                </v:shape>
                <v:rect style="position:absolute;left:1339;top:0;width:10523;height:16808" id="docshape3" filled="true" fillcolor="#ffffff" stroked="false">
                  <v:fill type="solid"/>
                </v:rect>
                <v:rect style="position:absolute;left:1339;top:0;width:10523;height:16808" id="docshape4" filled="false" stroked="true" strokeweight=".75pt" strokecolor="#ffffff">
                  <v:stroke dashstyle="solid"/>
                </v:rect>
                <v:shape style="position:absolute;left:1632;top:13764;width:2476;height:759" type="#_x0000_t75" id="docshape5" alt="C:\Users\ALFREB\AppData\Local\Hewlett-Packard\HP TRIM\TEMP\HPTRIM.79496\D17-21608  Electronic Signature - Anne Duggan.JPG" stroked="false">
                  <v:imagedata r:id="rId6" o:title=""/>
                </v:shape>
                <w10:wrap type="none"/>
              </v:group>
            </w:pict>
          </mc:Fallback>
        </mc:AlternateContent>
      </w:r>
      <w:r>
        <w:rPr/>
        <w:t>Dr</w:t>
      </w:r>
      <w:r>
        <w:rPr>
          <w:spacing w:val="-14"/>
        </w:rPr>
        <w:t> </w:t>
      </w:r>
      <w:r>
        <w:rPr/>
        <w:t>Elizabeth</w:t>
      </w:r>
      <w:r>
        <w:rPr>
          <w:spacing w:val="-14"/>
        </w:rPr>
        <w:t> </w:t>
      </w:r>
      <w:r>
        <w:rPr/>
        <w:t>Deveny </w:t>
      </w:r>
      <w:r>
        <w:rPr>
          <w:spacing w:val="-4"/>
        </w:rPr>
        <w:t>CEO</w:t>
      </w:r>
    </w:p>
    <w:p>
      <w:pPr>
        <w:pStyle w:val="BodyText"/>
        <w:ind w:right="4068"/>
      </w:pPr>
      <w:r>
        <w:rPr/>
        <w:t>Consumers</w:t>
      </w:r>
      <w:r>
        <w:rPr>
          <w:spacing w:val="-9"/>
        </w:rPr>
        <w:t> </w:t>
      </w:r>
      <w:r>
        <w:rPr/>
        <w:t>Health</w:t>
      </w:r>
      <w:r>
        <w:rPr>
          <w:spacing w:val="-8"/>
        </w:rPr>
        <w:t> </w:t>
      </w:r>
      <w:r>
        <w:rPr/>
        <w:t>Forum</w:t>
      </w:r>
      <w:r>
        <w:rPr>
          <w:spacing w:val="-8"/>
        </w:rPr>
        <w:t> </w:t>
      </w:r>
      <w:r>
        <w:rPr/>
        <w:t>of</w:t>
      </w:r>
      <w:r>
        <w:rPr>
          <w:spacing w:val="-10"/>
        </w:rPr>
        <w:t> </w:t>
      </w:r>
      <w:r>
        <w:rPr/>
        <w:t>Australia </w:t>
      </w:r>
      <w:hyperlink r:id="rId7">
        <w:r>
          <w:rPr>
            <w:spacing w:val="-2"/>
            <w:u w:val="single"/>
          </w:rPr>
          <w:t>info@chf.org.au</w:t>
        </w:r>
      </w:hyperlink>
    </w:p>
    <w:p>
      <w:pPr>
        <w:pStyle w:val="BodyText"/>
        <w:ind w:left="0"/>
      </w:pPr>
    </w:p>
    <w:p>
      <w:pPr>
        <w:pStyle w:val="BodyText"/>
        <w:spacing w:before="162"/>
        <w:ind w:left="0"/>
      </w:pPr>
    </w:p>
    <w:p>
      <w:pPr>
        <w:pStyle w:val="BodyText"/>
      </w:pPr>
      <w:r>
        <w:rPr/>
        <w:t>Dear</w:t>
      </w:r>
      <w:r>
        <w:rPr>
          <w:spacing w:val="-1"/>
        </w:rPr>
        <w:t> </w:t>
      </w:r>
      <w:r>
        <w:rPr/>
        <w:t>Dr</w:t>
      </w:r>
      <w:r>
        <w:rPr>
          <w:spacing w:val="-2"/>
        </w:rPr>
        <w:t> Deveny</w:t>
      </w:r>
    </w:p>
    <w:p>
      <w:pPr>
        <w:pStyle w:val="BodyText"/>
        <w:spacing w:before="280"/>
        <w:ind w:left="0"/>
      </w:pPr>
    </w:p>
    <w:p>
      <w:pPr>
        <w:pStyle w:val="BodyText"/>
        <w:spacing w:before="1"/>
        <w:ind w:right="56"/>
      </w:pPr>
      <w:r>
        <w:rPr/>
        <w:t>I</w:t>
      </w:r>
      <w:r>
        <w:rPr>
          <w:spacing w:val="-2"/>
        </w:rPr>
        <w:t> </w:t>
      </w:r>
      <w:r>
        <w:rPr/>
        <w:t>write</w:t>
      </w:r>
      <w:r>
        <w:rPr>
          <w:spacing w:val="-3"/>
        </w:rPr>
        <w:t> </w:t>
      </w:r>
      <w:r>
        <w:rPr/>
        <w:t>to</w:t>
      </w:r>
      <w:r>
        <w:rPr>
          <w:spacing w:val="-1"/>
        </w:rPr>
        <w:t> </w:t>
      </w:r>
      <w:r>
        <w:rPr/>
        <w:t>you</w:t>
      </w:r>
      <w:r>
        <w:rPr>
          <w:spacing w:val="-3"/>
        </w:rPr>
        <w:t> </w:t>
      </w:r>
      <w:r>
        <w:rPr/>
        <w:t>today</w:t>
      </w:r>
      <w:r>
        <w:rPr>
          <w:spacing w:val="-4"/>
        </w:rPr>
        <w:t> </w:t>
      </w:r>
      <w:r>
        <w:rPr/>
        <w:t>to</w:t>
      </w:r>
      <w:r>
        <w:rPr>
          <w:spacing w:val="-4"/>
        </w:rPr>
        <w:t> </w:t>
      </w:r>
      <w:r>
        <w:rPr/>
        <w:t>invite</w:t>
      </w:r>
      <w:r>
        <w:rPr>
          <w:spacing w:val="-1"/>
        </w:rPr>
        <w:t> </w:t>
      </w:r>
      <w:r>
        <w:rPr/>
        <w:t>you</w:t>
      </w:r>
      <w:r>
        <w:rPr>
          <w:spacing w:val="-3"/>
        </w:rPr>
        <w:t> </w:t>
      </w:r>
      <w:r>
        <w:rPr/>
        <w:t>to</w:t>
      </w:r>
      <w:r>
        <w:rPr>
          <w:spacing w:val="-1"/>
        </w:rPr>
        <w:t> </w:t>
      </w:r>
      <w:r>
        <w:rPr/>
        <w:t>stay</w:t>
      </w:r>
      <w:r>
        <w:rPr>
          <w:spacing w:val="-5"/>
        </w:rPr>
        <w:t> </w:t>
      </w:r>
      <w:r>
        <w:rPr/>
        <w:t>up</w:t>
      </w:r>
      <w:r>
        <w:rPr>
          <w:spacing w:val="-1"/>
        </w:rPr>
        <w:t> </w:t>
      </w:r>
      <w:r>
        <w:rPr/>
        <w:t>to</w:t>
      </w:r>
      <w:r>
        <w:rPr>
          <w:spacing w:val="-3"/>
        </w:rPr>
        <w:t> </w:t>
      </w:r>
      <w:r>
        <w:rPr/>
        <w:t>date</w:t>
      </w:r>
      <w:r>
        <w:rPr>
          <w:spacing w:val="-1"/>
        </w:rPr>
        <w:t> </w:t>
      </w:r>
      <w:r>
        <w:rPr/>
        <w:t>with</w:t>
      </w:r>
      <w:r>
        <w:rPr>
          <w:spacing w:val="-3"/>
        </w:rPr>
        <w:t> </w:t>
      </w:r>
      <w:r>
        <w:rPr/>
        <w:t>the</w:t>
      </w:r>
      <w:r>
        <w:rPr>
          <w:spacing w:val="-3"/>
        </w:rPr>
        <w:t> </w:t>
      </w:r>
      <w:r>
        <w:rPr/>
        <w:t>work</w:t>
      </w:r>
      <w:r>
        <w:rPr>
          <w:spacing w:val="-3"/>
        </w:rPr>
        <w:t> </w:t>
      </w:r>
      <w:r>
        <w:rPr/>
        <w:t>of</w:t>
      </w:r>
      <w:r>
        <w:rPr>
          <w:spacing w:val="-3"/>
        </w:rPr>
        <w:t> </w:t>
      </w:r>
      <w:r>
        <w:rPr/>
        <w:t>the</w:t>
      </w:r>
      <w:r>
        <w:rPr>
          <w:spacing w:val="-4"/>
        </w:rPr>
        <w:t> </w:t>
      </w:r>
      <w:r>
        <w:rPr/>
        <w:t>Medicare</w:t>
      </w:r>
      <w:r>
        <w:rPr>
          <w:spacing w:val="-1"/>
        </w:rPr>
        <w:t> </w:t>
      </w:r>
      <w:r>
        <w:rPr/>
        <w:t>Benefits Schedule (MBS) Review Advisory Committee (MRAC).</w:t>
      </w:r>
    </w:p>
    <w:p>
      <w:pPr>
        <w:pStyle w:val="BodyText"/>
        <w:spacing w:before="280"/>
        <w:ind w:right="56"/>
      </w:pPr>
      <w:r>
        <w:rPr/>
        <w:t>The MRAC was established as an independent, clinician and consumer led non-statutory committee, to aid the role of the MBS Continuous Review in providing continued assurance that</w:t>
      </w:r>
      <w:r>
        <w:rPr>
          <w:spacing w:val="-2"/>
        </w:rPr>
        <w:t> </w:t>
      </w:r>
      <w:r>
        <w:rPr/>
        <w:t>the</w:t>
      </w:r>
      <w:r>
        <w:rPr>
          <w:spacing w:val="-5"/>
        </w:rPr>
        <w:t> </w:t>
      </w:r>
      <w:r>
        <w:rPr/>
        <w:t>MBS</w:t>
      </w:r>
      <w:r>
        <w:rPr>
          <w:spacing w:val="-5"/>
        </w:rPr>
        <w:t> </w:t>
      </w:r>
      <w:r>
        <w:rPr/>
        <w:t>will</w:t>
      </w:r>
      <w:r>
        <w:rPr>
          <w:spacing w:val="-3"/>
        </w:rPr>
        <w:t> </w:t>
      </w:r>
      <w:r>
        <w:rPr/>
        <w:t>support</w:t>
      </w:r>
      <w:r>
        <w:rPr>
          <w:spacing w:val="-2"/>
        </w:rPr>
        <w:t> </w:t>
      </w:r>
      <w:r>
        <w:rPr/>
        <w:t>improved</w:t>
      </w:r>
      <w:r>
        <w:rPr>
          <w:spacing w:val="-4"/>
        </w:rPr>
        <w:t> </w:t>
      </w:r>
      <w:r>
        <w:rPr/>
        <w:t>health</w:t>
      </w:r>
      <w:r>
        <w:rPr>
          <w:spacing w:val="-2"/>
        </w:rPr>
        <w:t> </w:t>
      </w:r>
      <w:r>
        <w:rPr/>
        <w:t>outcomes</w:t>
      </w:r>
      <w:r>
        <w:rPr>
          <w:spacing w:val="-2"/>
        </w:rPr>
        <w:t> </w:t>
      </w:r>
      <w:r>
        <w:rPr/>
        <w:t>for</w:t>
      </w:r>
      <w:r>
        <w:rPr>
          <w:spacing w:val="-2"/>
        </w:rPr>
        <w:t> </w:t>
      </w:r>
      <w:r>
        <w:rPr/>
        <w:t>all</w:t>
      </w:r>
      <w:r>
        <w:rPr>
          <w:spacing w:val="-5"/>
        </w:rPr>
        <w:t> </w:t>
      </w:r>
      <w:r>
        <w:rPr/>
        <w:t>Australians.</w:t>
      </w:r>
      <w:r>
        <w:rPr>
          <w:spacing w:val="-6"/>
        </w:rPr>
        <w:t> </w:t>
      </w:r>
      <w:r>
        <w:rPr/>
        <w:t>The</w:t>
      </w:r>
      <w:r>
        <w:rPr>
          <w:spacing w:val="-4"/>
        </w:rPr>
        <w:t> </w:t>
      </w:r>
      <w:r>
        <w:rPr/>
        <w:t>MBS</w:t>
      </w:r>
      <w:r>
        <w:rPr>
          <w:spacing w:val="-3"/>
        </w:rPr>
        <w:t> </w:t>
      </w:r>
      <w:r>
        <w:rPr/>
        <w:t>Continuous Review</w:t>
      </w:r>
      <w:r>
        <w:rPr>
          <w:spacing w:val="-1"/>
        </w:rPr>
        <w:t> </w:t>
      </w:r>
      <w:r>
        <w:rPr/>
        <w:t>is</w:t>
      </w:r>
      <w:r>
        <w:rPr>
          <w:spacing w:val="-3"/>
        </w:rPr>
        <w:t> </w:t>
      </w:r>
      <w:r>
        <w:rPr/>
        <w:t>committed</w:t>
      </w:r>
      <w:r>
        <w:rPr>
          <w:spacing w:val="-3"/>
        </w:rPr>
        <w:t> </w:t>
      </w:r>
      <w:r>
        <w:rPr/>
        <w:t>to</w:t>
      </w:r>
      <w:r>
        <w:rPr>
          <w:spacing w:val="-4"/>
        </w:rPr>
        <w:t> </w:t>
      </w:r>
      <w:r>
        <w:rPr/>
        <w:t>active</w:t>
      </w:r>
      <w:r>
        <w:rPr>
          <w:spacing w:val="-3"/>
        </w:rPr>
        <w:t> </w:t>
      </w:r>
      <w:r>
        <w:rPr/>
        <w:t>engagement</w:t>
      </w:r>
      <w:r>
        <w:rPr>
          <w:spacing w:val="-3"/>
        </w:rPr>
        <w:t> </w:t>
      </w:r>
      <w:r>
        <w:rPr/>
        <w:t>with</w:t>
      </w:r>
      <w:r>
        <w:rPr>
          <w:spacing w:val="-3"/>
        </w:rPr>
        <w:t> </w:t>
      </w:r>
      <w:r>
        <w:rPr/>
        <w:t>the</w:t>
      </w:r>
      <w:r>
        <w:rPr>
          <w:spacing w:val="-4"/>
        </w:rPr>
        <w:t> </w:t>
      </w:r>
      <w:r>
        <w:rPr/>
        <w:t>health</w:t>
      </w:r>
      <w:r>
        <w:rPr>
          <w:spacing w:val="-3"/>
        </w:rPr>
        <w:t> </w:t>
      </w:r>
      <w:r>
        <w:rPr/>
        <w:t>sector</w:t>
      </w:r>
      <w:r>
        <w:rPr>
          <w:spacing w:val="-2"/>
        </w:rPr>
        <w:t> </w:t>
      </w:r>
      <w:r>
        <w:rPr/>
        <w:t>and with</w:t>
      </w:r>
      <w:r>
        <w:rPr>
          <w:spacing w:val="-1"/>
        </w:rPr>
        <w:t> </w:t>
      </w:r>
      <w:r>
        <w:rPr/>
        <w:t>consumers</w:t>
      </w:r>
      <w:r>
        <w:rPr>
          <w:spacing w:val="-3"/>
        </w:rPr>
        <w:t> </w:t>
      </w:r>
      <w:r>
        <w:rPr/>
        <w:t>about decisions</w:t>
      </w:r>
      <w:r>
        <w:rPr>
          <w:spacing w:val="-3"/>
        </w:rPr>
        <w:t> </w:t>
      </w:r>
      <w:r>
        <w:rPr/>
        <w:t>on</w:t>
      </w:r>
      <w:r>
        <w:rPr>
          <w:spacing w:val="-1"/>
        </w:rPr>
        <w:t> </w:t>
      </w:r>
      <w:r>
        <w:rPr/>
        <w:t>how</w:t>
      </w:r>
      <w:r>
        <w:rPr>
          <w:spacing w:val="-2"/>
        </w:rPr>
        <w:t> </w:t>
      </w:r>
      <w:r>
        <w:rPr/>
        <w:t>the</w:t>
      </w:r>
      <w:r>
        <w:rPr>
          <w:spacing w:val="-3"/>
        </w:rPr>
        <w:t> </w:t>
      </w:r>
      <w:r>
        <w:rPr/>
        <w:t>MBS</w:t>
      </w:r>
      <w:r>
        <w:rPr>
          <w:spacing w:val="-1"/>
        </w:rPr>
        <w:t> </w:t>
      </w:r>
      <w:r>
        <w:rPr/>
        <w:t>can be improved.</w:t>
      </w:r>
      <w:r>
        <w:rPr>
          <w:spacing w:val="-1"/>
        </w:rPr>
        <w:t> </w:t>
      </w:r>
      <w:r>
        <w:rPr/>
        <w:t>Changes</w:t>
      </w:r>
      <w:r>
        <w:rPr>
          <w:spacing w:val="-1"/>
        </w:rPr>
        <w:t> </w:t>
      </w:r>
      <w:r>
        <w:rPr/>
        <w:t>proposed by</w:t>
      </w:r>
      <w:r>
        <w:rPr>
          <w:spacing w:val="-4"/>
        </w:rPr>
        <w:t> </w:t>
      </w:r>
      <w:r>
        <w:rPr/>
        <w:t>MRAC</w:t>
      </w:r>
      <w:r>
        <w:rPr>
          <w:spacing w:val="-4"/>
        </w:rPr>
        <w:t> </w:t>
      </w:r>
      <w:r>
        <w:rPr/>
        <w:t>will</w:t>
      </w:r>
      <w:r>
        <w:rPr>
          <w:spacing w:val="-1"/>
        </w:rPr>
        <w:t> </w:t>
      </w:r>
      <w:r>
        <w:rPr/>
        <w:t>aim</w:t>
      </w:r>
      <w:r>
        <w:rPr>
          <w:spacing w:val="-3"/>
        </w:rPr>
        <w:t> </w:t>
      </w:r>
      <w:r>
        <w:rPr/>
        <w:t>to improve the provision of equitable and affordable access to universal health care.</w:t>
      </w:r>
    </w:p>
    <w:p>
      <w:pPr>
        <w:pStyle w:val="BodyText"/>
        <w:spacing w:before="280"/>
        <w:ind w:right="56"/>
      </w:pPr>
      <w:r>
        <w:rPr/>
        <w:t>The</w:t>
      </w:r>
      <w:r>
        <w:rPr>
          <w:spacing w:val="-4"/>
        </w:rPr>
        <w:t> </w:t>
      </w:r>
      <w:r>
        <w:rPr/>
        <w:t>expertise</w:t>
      </w:r>
      <w:r>
        <w:rPr>
          <w:spacing w:val="-2"/>
        </w:rPr>
        <w:t> </w:t>
      </w:r>
      <w:r>
        <w:rPr/>
        <w:t>and</w:t>
      </w:r>
      <w:r>
        <w:rPr>
          <w:spacing w:val="-4"/>
        </w:rPr>
        <w:t> </w:t>
      </w:r>
      <w:r>
        <w:rPr/>
        <w:t>knowledge</w:t>
      </w:r>
      <w:r>
        <w:rPr>
          <w:spacing w:val="-4"/>
        </w:rPr>
        <w:t> </w:t>
      </w:r>
      <w:r>
        <w:rPr/>
        <w:t>of the</w:t>
      </w:r>
      <w:r>
        <w:rPr>
          <w:spacing w:val="-2"/>
        </w:rPr>
        <w:t> </w:t>
      </w:r>
      <w:r>
        <w:rPr/>
        <w:t>Consumers</w:t>
      </w:r>
      <w:r>
        <w:rPr>
          <w:spacing w:val="-4"/>
        </w:rPr>
        <w:t> </w:t>
      </w:r>
      <w:r>
        <w:rPr/>
        <w:t>Health</w:t>
      </w:r>
      <w:r>
        <w:rPr>
          <w:spacing w:val="-2"/>
        </w:rPr>
        <w:t> </w:t>
      </w:r>
      <w:r>
        <w:rPr/>
        <w:t>Forum</w:t>
      </w:r>
      <w:r>
        <w:rPr>
          <w:spacing w:val="-4"/>
        </w:rPr>
        <w:t> </w:t>
      </w:r>
      <w:r>
        <w:rPr/>
        <w:t>of</w:t>
      </w:r>
      <w:r>
        <w:rPr>
          <w:spacing w:val="-2"/>
        </w:rPr>
        <w:t> </w:t>
      </w:r>
      <w:r>
        <w:rPr/>
        <w:t>Australia and</w:t>
      </w:r>
      <w:r>
        <w:rPr>
          <w:spacing w:val="-4"/>
        </w:rPr>
        <w:t> </w:t>
      </w:r>
      <w:r>
        <w:rPr/>
        <w:t>its</w:t>
      </w:r>
      <w:r>
        <w:rPr>
          <w:spacing w:val="-4"/>
        </w:rPr>
        <w:t> </w:t>
      </w:r>
      <w:r>
        <w:rPr/>
        <w:t>members is recognised, as is the benefit it can provide in informing relevant MRAC reviews. To assist in the ongoing participation of the MBS Continuous Review process, new communication materials have been developed.</w:t>
      </w:r>
    </w:p>
    <w:p>
      <w:pPr>
        <w:pStyle w:val="BodyText"/>
        <w:spacing w:before="281"/>
      </w:pPr>
      <w:r>
        <w:rPr/>
        <w:t>A new </w:t>
      </w:r>
      <w:hyperlink r:id="rId8">
        <w:r>
          <w:rPr>
            <w:color w:val="0462C1"/>
            <w:u w:val="single" w:color="0462C1"/>
          </w:rPr>
          <w:t>MRAC webpage</w:t>
        </w:r>
      </w:hyperlink>
      <w:r>
        <w:rPr>
          <w:color w:val="0462C1"/>
          <w:u w:val="none"/>
        </w:rPr>
        <w:t> </w:t>
      </w:r>
      <w:r>
        <w:rPr>
          <w:u w:val="none"/>
        </w:rPr>
        <w:t>has been published on the Department of Health and Aged Care website. This page contains current information regarding the role of the MRAC, and information</w:t>
      </w:r>
      <w:r>
        <w:rPr>
          <w:spacing w:val="-4"/>
          <w:u w:val="none"/>
        </w:rPr>
        <w:t> </w:t>
      </w:r>
      <w:r>
        <w:rPr>
          <w:u w:val="none"/>
        </w:rPr>
        <w:t>on</w:t>
      </w:r>
      <w:r>
        <w:rPr>
          <w:spacing w:val="-2"/>
          <w:u w:val="none"/>
        </w:rPr>
        <w:t> </w:t>
      </w:r>
      <w:r>
        <w:rPr>
          <w:u w:val="none"/>
        </w:rPr>
        <w:t>its</w:t>
      </w:r>
      <w:r>
        <w:rPr>
          <w:spacing w:val="-3"/>
          <w:u w:val="none"/>
        </w:rPr>
        <w:t> </w:t>
      </w:r>
      <w:r>
        <w:rPr>
          <w:u w:val="none"/>
        </w:rPr>
        <w:t>current</w:t>
      </w:r>
      <w:r>
        <w:rPr>
          <w:spacing w:val="-2"/>
          <w:u w:val="none"/>
        </w:rPr>
        <w:t> </w:t>
      </w:r>
      <w:r>
        <w:rPr>
          <w:u w:val="none"/>
        </w:rPr>
        <w:t>and</w:t>
      </w:r>
      <w:r>
        <w:rPr>
          <w:spacing w:val="-4"/>
          <w:u w:val="none"/>
        </w:rPr>
        <w:t> </w:t>
      </w:r>
      <w:r>
        <w:rPr>
          <w:u w:val="none"/>
        </w:rPr>
        <w:t>upcoming</w:t>
      </w:r>
      <w:r>
        <w:rPr>
          <w:spacing w:val="-3"/>
          <w:u w:val="none"/>
        </w:rPr>
        <w:t> </w:t>
      </w:r>
      <w:r>
        <w:rPr>
          <w:u w:val="none"/>
        </w:rPr>
        <w:t>reviews.</w:t>
      </w:r>
      <w:r>
        <w:rPr>
          <w:spacing w:val="-6"/>
          <w:u w:val="none"/>
        </w:rPr>
        <w:t> </w:t>
      </w:r>
      <w:r>
        <w:rPr>
          <w:u w:val="none"/>
        </w:rPr>
        <w:t>It</w:t>
      </w:r>
      <w:r>
        <w:rPr>
          <w:spacing w:val="-2"/>
          <w:u w:val="none"/>
        </w:rPr>
        <w:t> </w:t>
      </w:r>
      <w:r>
        <w:rPr>
          <w:u w:val="none"/>
        </w:rPr>
        <w:t>also</w:t>
      </w:r>
      <w:r>
        <w:rPr>
          <w:spacing w:val="-2"/>
          <w:u w:val="none"/>
        </w:rPr>
        <w:t> </w:t>
      </w:r>
      <w:r>
        <w:rPr>
          <w:u w:val="none"/>
        </w:rPr>
        <w:t>includes</w:t>
      </w:r>
      <w:r>
        <w:rPr>
          <w:spacing w:val="-3"/>
          <w:u w:val="none"/>
        </w:rPr>
        <w:t> </w:t>
      </w:r>
      <w:r>
        <w:rPr>
          <w:u w:val="none"/>
        </w:rPr>
        <w:t>guidance</w:t>
      </w:r>
      <w:r>
        <w:rPr>
          <w:spacing w:val="-4"/>
          <w:u w:val="none"/>
        </w:rPr>
        <w:t> </w:t>
      </w:r>
      <w:r>
        <w:rPr>
          <w:u w:val="none"/>
        </w:rPr>
        <w:t>for</w:t>
      </w:r>
      <w:r>
        <w:rPr>
          <w:spacing w:val="-2"/>
          <w:u w:val="none"/>
        </w:rPr>
        <w:t> </w:t>
      </w:r>
      <w:r>
        <w:rPr>
          <w:u w:val="none"/>
        </w:rPr>
        <w:t>submitting</w:t>
      </w:r>
      <w:r>
        <w:rPr>
          <w:spacing w:val="-3"/>
          <w:u w:val="none"/>
        </w:rPr>
        <w:t> </w:t>
      </w:r>
      <w:r>
        <w:rPr>
          <w:u w:val="none"/>
        </w:rPr>
        <w:t>a request under the MBS Continuous Review.</w:t>
      </w:r>
    </w:p>
    <w:p>
      <w:pPr>
        <w:pStyle w:val="BodyText"/>
        <w:spacing w:before="280"/>
        <w:ind w:right="93"/>
      </w:pPr>
      <w:r>
        <w:rPr/>
        <w:t>A new MRAC Communique was recently published on this webpage, which provides outcomes</w:t>
      </w:r>
      <w:r>
        <w:rPr>
          <w:spacing w:val="-3"/>
        </w:rPr>
        <w:t> </w:t>
      </w:r>
      <w:r>
        <w:rPr/>
        <w:t>from</w:t>
      </w:r>
      <w:r>
        <w:rPr>
          <w:spacing w:val="-4"/>
        </w:rPr>
        <w:t> </w:t>
      </w:r>
      <w:r>
        <w:rPr/>
        <w:t>the</w:t>
      </w:r>
      <w:r>
        <w:rPr>
          <w:spacing w:val="-3"/>
        </w:rPr>
        <w:t> </w:t>
      </w:r>
      <w:r>
        <w:rPr/>
        <w:t>December</w:t>
      </w:r>
      <w:r>
        <w:rPr>
          <w:spacing w:val="-4"/>
        </w:rPr>
        <w:t> </w:t>
      </w:r>
      <w:r>
        <w:rPr/>
        <w:t>2022 meeting.</w:t>
      </w:r>
      <w:r>
        <w:rPr>
          <w:spacing w:val="-4"/>
        </w:rPr>
        <w:t> </w:t>
      </w:r>
      <w:r>
        <w:rPr/>
        <w:t>Future</w:t>
      </w:r>
      <w:r>
        <w:rPr>
          <w:spacing w:val="-1"/>
        </w:rPr>
        <w:t> </w:t>
      </w:r>
      <w:r>
        <w:rPr/>
        <w:t>editions</w:t>
      </w:r>
      <w:r>
        <w:rPr>
          <w:spacing w:val="-5"/>
        </w:rPr>
        <w:t> </w:t>
      </w:r>
      <w:r>
        <w:rPr/>
        <w:t>of</w:t>
      </w:r>
      <w:r>
        <w:rPr>
          <w:spacing w:val="-4"/>
        </w:rPr>
        <w:t> </w:t>
      </w:r>
      <w:r>
        <w:rPr/>
        <w:t>the</w:t>
      </w:r>
      <w:r>
        <w:rPr>
          <w:spacing w:val="-2"/>
        </w:rPr>
        <w:t> </w:t>
      </w:r>
      <w:r>
        <w:rPr/>
        <w:t>Communique</w:t>
      </w:r>
      <w:r>
        <w:rPr>
          <w:spacing w:val="-5"/>
        </w:rPr>
        <w:t> </w:t>
      </w:r>
      <w:r>
        <w:rPr/>
        <w:t>will</w:t>
      </w:r>
      <w:r>
        <w:rPr>
          <w:spacing w:val="-5"/>
        </w:rPr>
        <w:t> </w:t>
      </w:r>
      <w:r>
        <w:rPr/>
        <w:t>be published on the webpage following each quarterly MRAC meeting.</w:t>
      </w:r>
    </w:p>
    <w:p>
      <w:pPr>
        <w:pStyle w:val="BodyText"/>
        <w:spacing w:before="280"/>
        <w:ind w:right="173"/>
      </w:pPr>
      <w:r>
        <w:rPr/>
        <w:t>To stay informed on the work of the MRAC, I advise you to monitor the webpage regularly for updates and to consider it the chief point of accurate information. I encourage you to share</w:t>
      </w:r>
      <w:r>
        <w:rPr>
          <w:spacing w:val="-1"/>
        </w:rPr>
        <w:t> </w:t>
      </w:r>
      <w:r>
        <w:rPr/>
        <w:t>any</w:t>
      </w:r>
      <w:r>
        <w:rPr>
          <w:spacing w:val="-3"/>
        </w:rPr>
        <w:t> </w:t>
      </w:r>
      <w:r>
        <w:rPr/>
        <w:t>updates</w:t>
      </w:r>
      <w:r>
        <w:rPr>
          <w:spacing w:val="-3"/>
        </w:rPr>
        <w:t> </w:t>
      </w:r>
      <w:r>
        <w:rPr/>
        <w:t>and</w:t>
      </w:r>
      <w:r>
        <w:rPr>
          <w:spacing w:val="-4"/>
        </w:rPr>
        <w:t> </w:t>
      </w:r>
      <w:r>
        <w:rPr/>
        <w:t>materials</w:t>
      </w:r>
      <w:r>
        <w:rPr>
          <w:spacing w:val="-5"/>
        </w:rPr>
        <w:t> </w:t>
      </w:r>
      <w:r>
        <w:rPr/>
        <w:t>provided</w:t>
      </w:r>
      <w:r>
        <w:rPr>
          <w:spacing w:val="-4"/>
        </w:rPr>
        <w:t> </w:t>
      </w:r>
      <w:r>
        <w:rPr/>
        <w:t>on</w:t>
      </w:r>
      <w:r>
        <w:rPr>
          <w:spacing w:val="-4"/>
        </w:rPr>
        <w:t> </w:t>
      </w:r>
      <w:r>
        <w:rPr/>
        <w:t>the</w:t>
      </w:r>
      <w:r>
        <w:rPr>
          <w:spacing w:val="-4"/>
        </w:rPr>
        <w:t> </w:t>
      </w:r>
      <w:r>
        <w:rPr/>
        <w:t>webpage with</w:t>
      </w:r>
      <w:r>
        <w:rPr>
          <w:spacing w:val="-2"/>
        </w:rPr>
        <w:t> </w:t>
      </w:r>
      <w:r>
        <w:rPr/>
        <w:t>your</w:t>
      </w:r>
      <w:r>
        <w:rPr>
          <w:spacing w:val="-2"/>
        </w:rPr>
        <w:t> </w:t>
      </w:r>
      <w:r>
        <w:rPr/>
        <w:t>members and</w:t>
      </w:r>
      <w:r>
        <w:rPr>
          <w:spacing w:val="-4"/>
        </w:rPr>
        <w:t> </w:t>
      </w:r>
      <w:r>
        <w:rPr/>
        <w:t>affiliated societies when relevant.</w:t>
      </w:r>
    </w:p>
    <w:p>
      <w:pPr>
        <w:pStyle w:val="BodyText"/>
        <w:spacing w:line="242" w:lineRule="auto" w:before="278"/>
      </w:pPr>
      <w:r>
        <w:rPr/>
        <w:t>On</w:t>
      </w:r>
      <w:r>
        <w:rPr>
          <w:spacing w:val="-2"/>
        </w:rPr>
        <w:t> </w:t>
      </w:r>
      <w:r>
        <w:rPr/>
        <w:t>behalf</w:t>
      </w:r>
      <w:r>
        <w:rPr>
          <w:spacing w:val="-4"/>
        </w:rPr>
        <w:t> </w:t>
      </w:r>
      <w:r>
        <w:rPr/>
        <w:t>of</w:t>
      </w:r>
      <w:r>
        <w:rPr>
          <w:spacing w:val="-2"/>
        </w:rPr>
        <w:t> </w:t>
      </w:r>
      <w:r>
        <w:rPr/>
        <w:t>the</w:t>
      </w:r>
      <w:r>
        <w:rPr>
          <w:spacing w:val="-5"/>
        </w:rPr>
        <w:t> </w:t>
      </w:r>
      <w:r>
        <w:rPr/>
        <w:t>MRAC, I</w:t>
      </w:r>
      <w:r>
        <w:rPr>
          <w:spacing w:val="-5"/>
        </w:rPr>
        <w:t> </w:t>
      </w:r>
      <w:r>
        <w:rPr/>
        <w:t>look</w:t>
      </w:r>
      <w:r>
        <w:rPr>
          <w:spacing w:val="-4"/>
        </w:rPr>
        <w:t> </w:t>
      </w:r>
      <w:r>
        <w:rPr/>
        <w:t>forward</w:t>
      </w:r>
      <w:r>
        <w:rPr>
          <w:spacing w:val="-4"/>
        </w:rPr>
        <w:t> </w:t>
      </w:r>
      <w:r>
        <w:rPr/>
        <w:t>to</w:t>
      </w:r>
      <w:r>
        <w:rPr>
          <w:spacing w:val="-5"/>
        </w:rPr>
        <w:t> </w:t>
      </w:r>
      <w:r>
        <w:rPr/>
        <w:t>ongoing</w:t>
      </w:r>
      <w:r>
        <w:rPr>
          <w:spacing w:val="-5"/>
        </w:rPr>
        <w:t> </w:t>
      </w:r>
      <w:r>
        <w:rPr/>
        <w:t>engagement with</w:t>
      </w:r>
      <w:r>
        <w:rPr>
          <w:spacing w:val="-3"/>
        </w:rPr>
        <w:t> </w:t>
      </w:r>
      <w:r>
        <w:rPr/>
        <w:t>the</w:t>
      </w:r>
      <w:r>
        <w:rPr>
          <w:spacing w:val="-2"/>
        </w:rPr>
        <w:t> </w:t>
      </w:r>
      <w:r>
        <w:rPr/>
        <w:t>Consumers</w:t>
      </w:r>
      <w:r>
        <w:rPr>
          <w:spacing w:val="-5"/>
        </w:rPr>
        <w:t> </w:t>
      </w:r>
      <w:r>
        <w:rPr/>
        <w:t>Health Forum of Australia.</w:t>
      </w:r>
    </w:p>
    <w:p>
      <w:pPr>
        <w:pStyle w:val="BodyText"/>
        <w:spacing w:before="275"/>
      </w:pPr>
      <w:r>
        <w:rPr/>
        <w:t>Yours </w:t>
      </w:r>
      <w:r>
        <w:rPr>
          <w:spacing w:val="-2"/>
        </w:rPr>
        <w:t>sincerely</w:t>
      </w:r>
    </w:p>
    <w:p>
      <w:pPr>
        <w:pStyle w:val="BodyText"/>
        <w:ind w:left="0"/>
      </w:pPr>
    </w:p>
    <w:p>
      <w:pPr>
        <w:pStyle w:val="BodyText"/>
        <w:ind w:left="0"/>
      </w:pPr>
    </w:p>
    <w:p>
      <w:pPr>
        <w:pStyle w:val="BodyText"/>
        <w:ind w:left="0"/>
      </w:pPr>
    </w:p>
    <w:p>
      <w:pPr>
        <w:pStyle w:val="BodyText"/>
        <w:spacing w:before="148"/>
        <w:ind w:left="0"/>
      </w:pPr>
    </w:p>
    <w:p>
      <w:pPr>
        <w:pStyle w:val="BodyText"/>
        <w:ind w:right="5783"/>
      </w:pPr>
      <w:r>
        <w:rPr/>
        <w:t>Conjoint</w:t>
      </w:r>
      <w:r>
        <w:rPr>
          <w:spacing w:val="-11"/>
        </w:rPr>
        <w:t> </w:t>
      </w:r>
      <w:r>
        <w:rPr/>
        <w:t>Professor</w:t>
      </w:r>
      <w:r>
        <w:rPr>
          <w:spacing w:val="-9"/>
        </w:rPr>
        <w:t> </w:t>
      </w:r>
      <w:r>
        <w:rPr/>
        <w:t>Anne</w:t>
      </w:r>
      <w:r>
        <w:rPr>
          <w:spacing w:val="-14"/>
        </w:rPr>
        <w:t> </w:t>
      </w:r>
      <w:r>
        <w:rPr/>
        <w:t>Duggan </w:t>
      </w:r>
      <w:r>
        <w:rPr>
          <w:spacing w:val="-2"/>
        </w:rPr>
        <w:t>Chair</w:t>
      </w:r>
    </w:p>
    <w:p>
      <w:pPr>
        <w:pStyle w:val="BodyText"/>
        <w:ind w:right="5783"/>
      </w:pPr>
      <w:r>
        <w:rPr/>
        <w:t>MBS</w:t>
      </w:r>
      <w:r>
        <w:rPr>
          <w:spacing w:val="-12"/>
        </w:rPr>
        <w:t> </w:t>
      </w:r>
      <w:r>
        <w:rPr/>
        <w:t>Review</w:t>
      </w:r>
      <w:r>
        <w:rPr>
          <w:spacing w:val="-12"/>
        </w:rPr>
        <w:t> </w:t>
      </w:r>
      <w:r>
        <w:rPr/>
        <w:t>Advisory</w:t>
      </w:r>
      <w:r>
        <w:rPr>
          <w:spacing w:val="-12"/>
        </w:rPr>
        <w:t> </w:t>
      </w:r>
      <w:r>
        <w:rPr/>
        <w:t>Committee 10 March 2023</w:t>
      </w:r>
    </w:p>
    <w:sectPr>
      <w:type w:val="continuous"/>
      <w:pgSz w:w="11910" w:h="16840"/>
      <w:pgMar w:top="1080" w:bottom="280" w:left="1520" w:right="10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ind w:left="112"/>
    </w:pPr>
    <w:rPr>
      <w:rFonts w:ascii="Calibri" w:hAnsi="Calibri" w:eastAsia="Calibri" w:cs="Calibri"/>
      <w:sz w:val="24"/>
      <w:szCs w:val="24"/>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jpeg"/><Relationship Id="rId7" Type="http://schemas.openxmlformats.org/officeDocument/2006/relationships/hyperlink" Target="mailto:info@chf.org.au" TargetMode="External"/><Relationship Id="rId8" Type="http://schemas.openxmlformats.org/officeDocument/2006/relationships/hyperlink" Target="https://www.health.gov.au/committees-and-groups/medicare-benefits-schedule-mbs-review-advisory-committee-mra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Maddison</dc:creator>
  <dcterms:created xsi:type="dcterms:W3CDTF">2025-01-22T23:48:52Z</dcterms:created>
  <dcterms:modified xsi:type="dcterms:W3CDTF">2025-01-22T23:48:52Z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2023-03-10T00:00:00Z</vt:filetime>
  </property>
  <property fmtid="{D5CDD505-2E9C-101B-9397-08002B2CF9AE}" pid="3" name="Creator">
    <vt:lpwstr>Microsoft® Word for Microsoft 365</vt:lpwstr>
  </property>
  <property fmtid="{D5CDD505-2E9C-101B-9397-08002B2CF9AE}" pid="4" name="LastSaved">
    <vt:filetime>2025-01-22T00:00:00Z</vt:filetime>
  </property>
  <property fmtid="{D5CDD505-2E9C-101B-9397-08002B2CF9AE}" pid="5" name="Producer">
    <vt:lpwstr>Microsoft® Word for Microsoft 365</vt:lpwstr>
  </property>
</Properties>
</file>