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4" w:rsidRDefault="00680CEA" w:rsidP="00020CA8">
      <w:pPr>
        <w:ind w:hanging="1418"/>
      </w:pPr>
      <w:r>
        <w:rPr>
          <w:noProof/>
        </w:rPr>
        <mc:AlternateContent>
          <mc:Choice Requires="wps">
            <w:drawing>
              <wp:anchor distT="0" distB="0" distL="114300" distR="114300" simplePos="0" relativeHeight="251657728" behindDoc="0" locked="0" layoutInCell="1" allowOverlap="1">
                <wp:simplePos x="0" y="0"/>
                <wp:positionH relativeFrom="column">
                  <wp:posOffset>4191000</wp:posOffset>
                </wp:positionH>
                <wp:positionV relativeFrom="paragraph">
                  <wp:posOffset>-114300</wp:posOffset>
                </wp:positionV>
                <wp:extent cx="2087880" cy="1758315"/>
                <wp:effectExtent l="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CA8" w:rsidRDefault="00680CEA" w:rsidP="00020CA8">
                            <w:pPr>
                              <w:ind w:right="-840"/>
                              <w:jc w:val="center"/>
                            </w:pPr>
                            <w:r>
                              <w:rPr>
                                <w:noProof/>
                              </w:rPr>
                              <w:drawing>
                                <wp:inline distT="0" distB="0" distL="0" distR="0">
                                  <wp:extent cx="1203960" cy="1668780"/>
                                  <wp:effectExtent l="0" t="0" r="0" b="7620"/>
                                  <wp:docPr id="2" name="Picture 2" descr="CHF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_logo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1668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0pt;margin-top:-9pt;width:164.4pt;height:1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" stroked="f">
                <v:textbox style="mso-fit-shape-to-text:t">
                  <w:txbxContent>
                    <w:p w:rsidR="00020CA8" w:rsidRDefault="00680CEA" w:rsidP="00020CA8">
                      <w:pPr>
                        <w:ind w:right="-840"/>
                        <w:jc w:val="center"/>
                      </w:pPr>
                      <w:r>
                        <w:rPr>
                          <w:noProof/>
                        </w:rPr>
                        <w:drawing>
                          <wp:inline distT="0" distB="0" distL="0" distR="0">
                            <wp:extent cx="1203960" cy="1668780"/>
                            <wp:effectExtent l="0" t="0" r="0" b="7620"/>
                            <wp:docPr id="2" name="Picture 2" descr="CHF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_logo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1668780"/>
                                    </a:xfrm>
                                    <a:prstGeom prst="rect">
                                      <a:avLst/>
                                    </a:prstGeom>
                                    <a:noFill/>
                                    <a:ln>
                                      <a:noFill/>
                                    </a:ln>
                                  </pic:spPr>
                                </pic:pic>
                              </a:graphicData>
                            </a:graphic>
                          </wp:inline>
                        </w:drawing>
                      </w:r>
                    </w:p>
                  </w:txbxContent>
                </v:textbox>
              </v:shape>
            </w:pict>
          </mc:Fallback>
        </mc:AlternateContent>
      </w:r>
    </w:p>
    <w:p w:rsidR="00020CA8" w:rsidRDefault="00680CEA" w:rsidP="00020CA8">
      <w:pPr>
        <w:spacing w:before="360"/>
        <w:ind w:hanging="1418"/>
      </w:pPr>
      <w:r>
        <w:rPr>
          <w:noProof/>
        </w:rPr>
        <w:drawing>
          <wp:inline distT="0" distB="0" distL="0" distR="0">
            <wp:extent cx="4785360" cy="198120"/>
            <wp:effectExtent l="0" t="0" r="0" b="0"/>
            <wp:docPr id="1" name="Picture 1" descr="sloga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b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5360" cy="198120"/>
                    </a:xfrm>
                    <a:prstGeom prst="rect">
                      <a:avLst/>
                    </a:prstGeom>
                    <a:noFill/>
                    <a:ln>
                      <a:noFill/>
                    </a:ln>
                  </pic:spPr>
                </pic:pic>
              </a:graphicData>
            </a:graphic>
          </wp:inline>
        </w:drawing>
      </w:r>
    </w:p>
    <w:p w:rsidR="00A66796" w:rsidRDefault="00A66796"/>
    <w:p w:rsidR="00020CA8" w:rsidRDefault="00020CA8"/>
    <w:p w:rsidR="00680CEA" w:rsidRPr="00411469" w:rsidRDefault="00680CEA" w:rsidP="00680CEA">
      <w:pPr>
        <w:pStyle w:val="FactTitle"/>
        <w:keepNext w:val="0"/>
        <w:spacing w:after="60"/>
        <w:jc w:val="left"/>
        <w:rPr>
          <w:color w:val="008080"/>
          <w:sz w:val="48"/>
          <w:szCs w:val="48"/>
        </w:rPr>
      </w:pPr>
      <w:r>
        <w:rPr>
          <w:color w:val="008080"/>
          <w:sz w:val="48"/>
          <w:szCs w:val="48"/>
        </w:rPr>
        <w:t>Position Statement</w:t>
      </w:r>
    </w:p>
    <w:p w:rsidR="00680CEA" w:rsidRPr="00FB4FA5" w:rsidRDefault="00680CEA" w:rsidP="00680CEA">
      <w:pPr>
        <w:pStyle w:val="FactTitle2"/>
        <w:keepNext w:val="0"/>
        <w:spacing w:before="240" w:after="120"/>
        <w:jc w:val="left"/>
        <w:rPr>
          <w:b/>
          <w:i w:val="0"/>
          <w:color w:val="FF6600"/>
        </w:rPr>
      </w:pPr>
      <w:r>
        <w:rPr>
          <w:b/>
          <w:i w:val="0"/>
          <w:color w:val="FF6600"/>
          <w:sz w:val="18"/>
          <w:szCs w:val="18"/>
        </w:rPr>
        <w:br/>
      </w:r>
      <w:r w:rsidR="00EC476D">
        <w:rPr>
          <w:b/>
          <w:i w:val="0"/>
          <w:color w:val="FF6600"/>
        </w:rPr>
        <w:t>Biosimilar Medicines</w:t>
      </w:r>
    </w:p>
    <w:p w:rsidR="00DC1256" w:rsidRDefault="00DC1256" w:rsidP="00DB58D3">
      <w:pPr>
        <w:spacing w:before="120"/>
        <w:rPr>
          <w:rFonts w:ascii="Arial" w:hAnsi="Arial" w:cs="Arial"/>
          <w:b/>
          <w:color w:val="008080"/>
        </w:rPr>
      </w:pPr>
    </w:p>
    <w:p w:rsidR="00DB58D3" w:rsidRPr="003C7EB4" w:rsidRDefault="00DB58D3" w:rsidP="00DB58D3">
      <w:pPr>
        <w:spacing w:before="120"/>
        <w:rPr>
          <w:rFonts w:ascii="Arial" w:hAnsi="Arial" w:cs="Arial"/>
          <w:b/>
          <w:color w:val="008080"/>
        </w:rPr>
      </w:pPr>
      <w:r w:rsidRPr="003C7EB4">
        <w:rPr>
          <w:rFonts w:ascii="Arial" w:hAnsi="Arial" w:cs="Arial"/>
          <w:b/>
          <w:color w:val="008080"/>
        </w:rPr>
        <w:t>Background</w:t>
      </w:r>
    </w:p>
    <w:p w:rsidR="006D2677" w:rsidRPr="00166A89" w:rsidRDefault="006D2677">
      <w:pPr>
        <w:rPr>
          <w:rFonts w:asciiTheme="minorHAnsi" w:hAnsiTheme="minorHAnsi"/>
        </w:rPr>
      </w:pPr>
      <w:r w:rsidRPr="00166A89">
        <w:rPr>
          <w:rFonts w:asciiTheme="minorHAnsi" w:hAnsiTheme="minorHAnsi"/>
        </w:rPr>
        <w:t xml:space="preserve">A biosimilar medicine is a version of an already registered biological medicine that has a demonstrable similarity in physiochemical, biological and immunological characteristics, efficacy and safety based on comprehensive comparability studies. Biosimilars are evaluated by the Therapeutic Goods Administration using specific guidelines to establish </w:t>
      </w:r>
      <w:r w:rsidR="003C7EB4" w:rsidRPr="00166A89">
        <w:rPr>
          <w:rFonts w:asciiTheme="minorHAnsi" w:hAnsiTheme="minorHAnsi"/>
        </w:rPr>
        <w:t xml:space="preserve">that </w:t>
      </w:r>
      <w:r w:rsidRPr="00166A89">
        <w:rPr>
          <w:rFonts w:asciiTheme="minorHAnsi" w:hAnsiTheme="minorHAnsi"/>
        </w:rPr>
        <w:t>similarity, efficacy and safety</w:t>
      </w:r>
      <w:r w:rsidR="003C7EB4" w:rsidRPr="00166A89">
        <w:rPr>
          <w:rFonts w:asciiTheme="minorHAnsi" w:hAnsiTheme="minorHAnsi"/>
        </w:rPr>
        <w:t xml:space="preserve"> as with other prescription medicines.</w:t>
      </w:r>
    </w:p>
    <w:p w:rsidR="006D2677" w:rsidRPr="00166A89" w:rsidRDefault="006D2677">
      <w:pPr>
        <w:rPr>
          <w:rFonts w:asciiTheme="minorHAnsi" w:hAnsiTheme="minorHAnsi"/>
        </w:rPr>
      </w:pPr>
      <w:r w:rsidRPr="00166A89">
        <w:rPr>
          <w:rFonts w:asciiTheme="minorHAnsi" w:hAnsiTheme="minorHAnsi"/>
        </w:rPr>
        <w:t xml:space="preserve"> </w:t>
      </w:r>
    </w:p>
    <w:p w:rsidR="00EC476D" w:rsidRPr="00166A89" w:rsidRDefault="006D2677">
      <w:pPr>
        <w:rPr>
          <w:rFonts w:asciiTheme="minorHAnsi" w:hAnsiTheme="minorHAnsi"/>
        </w:rPr>
      </w:pPr>
      <w:r w:rsidRPr="00166A89">
        <w:rPr>
          <w:rFonts w:asciiTheme="minorHAnsi" w:hAnsiTheme="minorHAnsi"/>
        </w:rPr>
        <w:t>Access to biosimilars</w:t>
      </w:r>
      <w:r w:rsidR="003C7EB4" w:rsidRPr="00166A89">
        <w:rPr>
          <w:rFonts w:asciiTheme="minorHAnsi" w:hAnsiTheme="minorHAnsi"/>
        </w:rPr>
        <w:t xml:space="preserve">, as with most prescription medicines, is dependent on being listed on the Pharmaceutical Benefits </w:t>
      </w:r>
      <w:r w:rsidR="003C7EB4" w:rsidRPr="00166A89">
        <w:rPr>
          <w:rFonts w:asciiTheme="minorHAnsi" w:hAnsiTheme="minorHAnsi"/>
        </w:rPr>
        <w:lastRenderedPageBreak/>
        <w:t xml:space="preserve">Scheme </w:t>
      </w:r>
      <w:r w:rsidR="004C1632">
        <w:rPr>
          <w:rFonts w:asciiTheme="minorHAnsi" w:hAnsiTheme="minorHAnsi"/>
        </w:rPr>
        <w:t xml:space="preserve">(PBS) </w:t>
      </w:r>
      <w:r w:rsidR="003C7EB4" w:rsidRPr="00166A89">
        <w:rPr>
          <w:rFonts w:asciiTheme="minorHAnsi" w:hAnsiTheme="minorHAnsi"/>
        </w:rPr>
        <w:t>with the Pharmaceutical Benefits Advisory Committee</w:t>
      </w:r>
      <w:r w:rsidR="004C1632">
        <w:rPr>
          <w:rFonts w:asciiTheme="minorHAnsi" w:hAnsiTheme="minorHAnsi"/>
        </w:rPr>
        <w:t xml:space="preserve"> (PBAC)</w:t>
      </w:r>
      <w:r w:rsidR="003C7EB4" w:rsidRPr="00166A89">
        <w:rPr>
          <w:rFonts w:asciiTheme="minorHAnsi" w:hAnsiTheme="minorHAnsi"/>
        </w:rPr>
        <w:t xml:space="preserve"> making recommendation</w:t>
      </w:r>
      <w:r w:rsidR="004C1632">
        <w:rPr>
          <w:rFonts w:asciiTheme="minorHAnsi" w:hAnsiTheme="minorHAnsi"/>
        </w:rPr>
        <w:t>s</w:t>
      </w:r>
      <w:r w:rsidR="003C7EB4" w:rsidRPr="00166A89">
        <w:rPr>
          <w:rFonts w:asciiTheme="minorHAnsi" w:hAnsiTheme="minorHAnsi"/>
        </w:rPr>
        <w:t xml:space="preserve"> to the Government on such listings.</w:t>
      </w:r>
      <w:r w:rsidRPr="00166A89">
        <w:rPr>
          <w:rFonts w:asciiTheme="minorHAnsi" w:hAnsiTheme="minorHAnsi"/>
        </w:rPr>
        <w:t xml:space="preserve">  </w:t>
      </w:r>
      <w:r w:rsidR="003C7EB4" w:rsidRPr="00166A89">
        <w:rPr>
          <w:rFonts w:asciiTheme="minorHAnsi" w:hAnsiTheme="minorHAnsi"/>
        </w:rPr>
        <w:t xml:space="preserve">PBAC recommendations include the indications for which a medicine can be listed and subsidised and when it can be substituted for a biologic. </w:t>
      </w:r>
    </w:p>
    <w:p w:rsidR="003C7EB4" w:rsidRPr="00166A89" w:rsidRDefault="003C7EB4">
      <w:pPr>
        <w:rPr>
          <w:rFonts w:asciiTheme="minorHAnsi" w:hAnsiTheme="minorHAnsi"/>
        </w:rPr>
      </w:pPr>
    </w:p>
    <w:p w:rsidR="00DC1256" w:rsidRDefault="003C7EB4">
      <w:pPr>
        <w:rPr>
          <w:rFonts w:asciiTheme="minorHAnsi" w:hAnsiTheme="minorHAnsi"/>
        </w:rPr>
      </w:pPr>
      <w:r w:rsidRPr="00166A89">
        <w:rPr>
          <w:rFonts w:asciiTheme="minorHAnsi" w:hAnsiTheme="minorHAnsi"/>
        </w:rPr>
        <w:t xml:space="preserve">Biologics are going to play an increasing role in the management of diseases into the future but they are expensive </w:t>
      </w:r>
      <w:r w:rsidR="00166A89" w:rsidRPr="00166A89">
        <w:rPr>
          <w:rFonts w:asciiTheme="minorHAnsi" w:hAnsiTheme="minorHAnsi"/>
        </w:rPr>
        <w:t>and restricted in use. We already see biosimilars being used in the hospital setting</w:t>
      </w:r>
      <w:r w:rsidR="00DC1256">
        <w:rPr>
          <w:rFonts w:asciiTheme="minorHAnsi" w:hAnsiTheme="minorHAnsi"/>
        </w:rPr>
        <w:t xml:space="preserve"> and specialist clinics.  It is predicted that they will be increasingly dispensed in the community as patients learn to self-administer or have advanced home care support for conditions treated with these medications. </w:t>
      </w:r>
    </w:p>
    <w:p w:rsidR="00DC1256" w:rsidRDefault="00DC1256">
      <w:pPr>
        <w:rPr>
          <w:rFonts w:asciiTheme="minorHAnsi" w:hAnsiTheme="minorHAnsi"/>
        </w:rPr>
      </w:pPr>
    </w:p>
    <w:p w:rsidR="00166A89" w:rsidRPr="00166A89" w:rsidRDefault="00DC1256">
      <w:pPr>
        <w:rPr>
          <w:rFonts w:asciiTheme="minorHAnsi" w:hAnsiTheme="minorHAnsi"/>
        </w:rPr>
      </w:pPr>
      <w:r>
        <w:rPr>
          <w:rFonts w:asciiTheme="minorHAnsi" w:hAnsiTheme="minorHAnsi"/>
        </w:rPr>
        <w:t>Th</w:t>
      </w:r>
      <w:r w:rsidR="00166A89" w:rsidRPr="00166A89">
        <w:rPr>
          <w:rFonts w:asciiTheme="minorHAnsi" w:hAnsiTheme="minorHAnsi"/>
        </w:rPr>
        <w:t xml:space="preserve">e wider introduction of </w:t>
      </w:r>
      <w:proofErr w:type="spellStart"/>
      <w:r>
        <w:rPr>
          <w:rFonts w:asciiTheme="minorHAnsi" w:hAnsiTheme="minorHAnsi"/>
        </w:rPr>
        <w:t>biosimilars</w:t>
      </w:r>
      <w:proofErr w:type="spellEnd"/>
      <w:r w:rsidR="00166A89" w:rsidRPr="00166A89">
        <w:rPr>
          <w:rFonts w:asciiTheme="minorHAnsi" w:hAnsiTheme="minorHAnsi"/>
        </w:rPr>
        <w:t xml:space="preserve"> should bring down costs and increase their use.</w:t>
      </w:r>
      <w:r>
        <w:rPr>
          <w:rFonts w:asciiTheme="minorHAnsi" w:hAnsiTheme="minorHAnsi"/>
        </w:rPr>
        <w:t xml:space="preserve">  </w:t>
      </w:r>
    </w:p>
    <w:p w:rsidR="00166A89" w:rsidRPr="00166A89" w:rsidRDefault="00166A89">
      <w:pPr>
        <w:rPr>
          <w:rFonts w:asciiTheme="minorHAnsi" w:hAnsiTheme="minorHAnsi"/>
        </w:rPr>
      </w:pPr>
    </w:p>
    <w:p w:rsidR="00902EE8" w:rsidRDefault="00166A89">
      <w:pPr>
        <w:rPr>
          <w:rFonts w:asciiTheme="minorHAnsi" w:hAnsiTheme="minorHAnsi"/>
        </w:rPr>
      </w:pPr>
      <w:r w:rsidRPr="00166A89">
        <w:rPr>
          <w:rFonts w:asciiTheme="minorHAnsi" w:hAnsiTheme="minorHAnsi"/>
        </w:rPr>
        <w:t xml:space="preserve">The PBS Sustainability and Access Package announced as part of the 2015 Budget included provision </w:t>
      </w:r>
      <w:r w:rsidR="000324C2">
        <w:rPr>
          <w:rFonts w:asciiTheme="minorHAnsi" w:hAnsiTheme="minorHAnsi"/>
        </w:rPr>
        <w:t>for</w:t>
      </w:r>
      <w:r w:rsidRPr="00166A89">
        <w:rPr>
          <w:rFonts w:asciiTheme="minorHAnsi" w:hAnsiTheme="minorHAnsi"/>
        </w:rPr>
        <w:t xml:space="preserve"> </w:t>
      </w:r>
      <w:proofErr w:type="spellStart"/>
      <w:r w:rsidRPr="00166A89">
        <w:rPr>
          <w:rFonts w:asciiTheme="minorHAnsi" w:hAnsiTheme="minorHAnsi"/>
        </w:rPr>
        <w:t>biosimilars</w:t>
      </w:r>
      <w:proofErr w:type="spellEnd"/>
      <w:r w:rsidRPr="00166A89">
        <w:rPr>
          <w:rFonts w:asciiTheme="minorHAnsi" w:hAnsiTheme="minorHAnsi"/>
        </w:rPr>
        <w:t xml:space="preserve"> </w:t>
      </w:r>
      <w:r w:rsidR="000324C2">
        <w:rPr>
          <w:rFonts w:asciiTheme="minorHAnsi" w:hAnsiTheme="minorHAnsi"/>
        </w:rPr>
        <w:t xml:space="preserve">to be substituted </w:t>
      </w:r>
      <w:r w:rsidRPr="00166A89">
        <w:rPr>
          <w:rFonts w:asciiTheme="minorHAnsi" w:hAnsiTheme="minorHAnsi"/>
        </w:rPr>
        <w:t xml:space="preserve">for biologics at the pharmacy level </w:t>
      </w:r>
      <w:r w:rsidR="004C1632">
        <w:rPr>
          <w:rFonts w:asciiTheme="minorHAnsi" w:hAnsiTheme="minorHAnsi"/>
        </w:rPr>
        <w:t>– known as ‘a’ flagging.</w:t>
      </w:r>
      <w:r w:rsidR="000324C2">
        <w:rPr>
          <w:rFonts w:asciiTheme="minorHAnsi" w:hAnsiTheme="minorHAnsi"/>
        </w:rPr>
        <w:t xml:space="preserve"> The ‘</w:t>
      </w:r>
      <w:proofErr w:type="gramStart"/>
      <w:r w:rsidR="000324C2">
        <w:rPr>
          <w:rFonts w:asciiTheme="minorHAnsi" w:hAnsiTheme="minorHAnsi"/>
        </w:rPr>
        <w:t>a</w:t>
      </w:r>
      <w:proofErr w:type="gramEnd"/>
      <w:r w:rsidR="000324C2">
        <w:rPr>
          <w:rFonts w:asciiTheme="minorHAnsi" w:hAnsiTheme="minorHAnsi"/>
        </w:rPr>
        <w:t xml:space="preserve">’ annotation against the PBS brand names indicates whether a pharmacists can substitute biosimilar medicines for reference biologics at the point of dispensing, without reference to the prescriber. </w:t>
      </w:r>
    </w:p>
    <w:p w:rsidR="000324C2" w:rsidRDefault="000324C2">
      <w:pPr>
        <w:rPr>
          <w:rFonts w:asciiTheme="minorHAnsi" w:hAnsiTheme="minorHAnsi"/>
        </w:rPr>
      </w:pPr>
    </w:p>
    <w:p w:rsidR="00EC476D" w:rsidRPr="00166A89" w:rsidRDefault="00166A89">
      <w:pPr>
        <w:rPr>
          <w:rFonts w:asciiTheme="minorHAnsi" w:hAnsiTheme="minorHAnsi"/>
        </w:rPr>
      </w:pPr>
      <w:r w:rsidRPr="00166A89">
        <w:rPr>
          <w:rFonts w:asciiTheme="minorHAnsi" w:hAnsiTheme="minorHAnsi"/>
        </w:rPr>
        <w:t>PBAC has confirmed</w:t>
      </w:r>
      <w:r w:rsidR="000324C2">
        <w:rPr>
          <w:rFonts w:asciiTheme="minorHAnsi" w:hAnsiTheme="minorHAnsi"/>
        </w:rPr>
        <w:t xml:space="preserve"> that it does not have a policy of automatic ‘a’ flagging and that any such  </w:t>
      </w:r>
      <w:r w:rsidRPr="00166A89">
        <w:rPr>
          <w:rFonts w:asciiTheme="minorHAnsi" w:hAnsiTheme="minorHAnsi"/>
        </w:rPr>
        <w:t xml:space="preserve"> </w:t>
      </w:r>
      <w:r w:rsidR="000324C2">
        <w:rPr>
          <w:rFonts w:asciiTheme="minorHAnsi" w:hAnsiTheme="minorHAnsi"/>
        </w:rPr>
        <w:t xml:space="preserve">recommendations would be made on a case-by-case basis. </w:t>
      </w:r>
    </w:p>
    <w:p w:rsidR="00DB58D3" w:rsidRPr="00DC1256" w:rsidRDefault="00DB58D3" w:rsidP="00DB58D3">
      <w:pPr>
        <w:spacing w:before="120"/>
        <w:rPr>
          <w:rFonts w:ascii="Arial" w:hAnsi="Arial" w:cs="Arial"/>
          <w:b/>
          <w:color w:val="008080"/>
        </w:rPr>
      </w:pPr>
      <w:r w:rsidRPr="00DC1256">
        <w:rPr>
          <w:rFonts w:ascii="Arial" w:hAnsi="Arial" w:cs="Arial"/>
          <w:b/>
          <w:color w:val="008080"/>
        </w:rPr>
        <w:t>CHF’s position</w:t>
      </w:r>
    </w:p>
    <w:p w:rsidR="004C1632" w:rsidRDefault="004C1632" w:rsidP="00166A89">
      <w:pPr>
        <w:rPr>
          <w:rFonts w:asciiTheme="minorHAnsi" w:hAnsiTheme="minorHAnsi"/>
        </w:rPr>
      </w:pPr>
    </w:p>
    <w:p w:rsidR="000324C2" w:rsidRPr="00DC1256" w:rsidRDefault="00166A89" w:rsidP="00DC1256">
      <w:pPr>
        <w:pStyle w:val="ListParagraph"/>
        <w:numPr>
          <w:ilvl w:val="0"/>
          <w:numId w:val="2"/>
        </w:numPr>
        <w:spacing w:after="0"/>
        <w:ind w:left="360"/>
      </w:pPr>
      <w:r w:rsidRPr="00DC1256">
        <w:t>In line with the National Medicines Policy s</w:t>
      </w:r>
      <w:r w:rsidR="00EC476D" w:rsidRPr="00DC1256">
        <w:t>afe and effective medicines should be available to consumers at the lowest possible cost.</w:t>
      </w:r>
      <w:r w:rsidR="004C1632" w:rsidRPr="00DC1256">
        <w:t xml:space="preserve"> </w:t>
      </w:r>
      <w:r w:rsidR="000324C2" w:rsidRPr="00DC1256">
        <w:t xml:space="preserve">Patients should not have to pay more for a biosimilar than a reference brand. </w:t>
      </w:r>
    </w:p>
    <w:p w:rsidR="00EC476D" w:rsidRPr="00772B55" w:rsidRDefault="00EC476D" w:rsidP="00DC1256">
      <w:pPr>
        <w:rPr>
          <w:rFonts w:asciiTheme="minorHAnsi" w:hAnsiTheme="minorHAnsi"/>
        </w:rPr>
      </w:pPr>
    </w:p>
    <w:p w:rsidR="000324C2" w:rsidRPr="00DC1256" w:rsidRDefault="00EC476D" w:rsidP="00DC1256">
      <w:pPr>
        <w:pStyle w:val="ListParagraph"/>
        <w:numPr>
          <w:ilvl w:val="0"/>
          <w:numId w:val="2"/>
        </w:numPr>
        <w:spacing w:after="0"/>
        <w:ind w:left="360"/>
      </w:pPr>
      <w:r w:rsidRPr="00DC1256">
        <w:lastRenderedPageBreak/>
        <w:t>CHF supports the effective, safe and successful entry of biosimilars into the Australian market</w:t>
      </w:r>
      <w:r w:rsidR="00C73EEC" w:rsidRPr="00DC1256">
        <w:t>.</w:t>
      </w:r>
      <w:r w:rsidRPr="00DC1256">
        <w:t xml:space="preserve">  </w:t>
      </w:r>
      <w:r w:rsidR="00772B55" w:rsidRPr="00DC1256">
        <w:t xml:space="preserve">This is in the interest of consumers as they will have access to a wider group of therapeutic options. </w:t>
      </w:r>
    </w:p>
    <w:p w:rsidR="00DC1256" w:rsidRDefault="00DC1256" w:rsidP="00DC1256">
      <w:pPr>
        <w:rPr>
          <w:rFonts w:asciiTheme="minorHAnsi" w:hAnsiTheme="minorHAnsi"/>
        </w:rPr>
      </w:pPr>
    </w:p>
    <w:p w:rsidR="004C1632" w:rsidRPr="00DC1256" w:rsidRDefault="000324C2" w:rsidP="00DC1256">
      <w:pPr>
        <w:pStyle w:val="ListParagraph"/>
        <w:numPr>
          <w:ilvl w:val="0"/>
          <w:numId w:val="2"/>
        </w:numPr>
        <w:spacing w:after="0"/>
        <w:ind w:left="360"/>
      </w:pPr>
      <w:r w:rsidRPr="00DC1256">
        <w:t xml:space="preserve">CHF recognises that price competition </w:t>
      </w:r>
      <w:r w:rsidR="009501C6" w:rsidRPr="00DC1256">
        <w:t xml:space="preserve">is an important strategy for achieving a sustainable PBS. </w:t>
      </w:r>
      <w:r w:rsidRPr="00DC1256">
        <w:t xml:space="preserve"> </w:t>
      </w:r>
      <w:r w:rsidR="00772B55" w:rsidRPr="00DC1256">
        <w:t xml:space="preserve">The lower prices which should eventuate </w:t>
      </w:r>
      <w:r w:rsidR="009501C6" w:rsidRPr="00DC1256">
        <w:t xml:space="preserve">from the increased availability of PBS subsidised </w:t>
      </w:r>
      <w:proofErr w:type="spellStart"/>
      <w:r w:rsidR="009501C6" w:rsidRPr="00DC1256">
        <w:t>biosimilars</w:t>
      </w:r>
      <w:proofErr w:type="spellEnd"/>
      <w:r w:rsidR="009501C6" w:rsidRPr="00DC1256">
        <w:t xml:space="preserve"> </w:t>
      </w:r>
      <w:r w:rsidR="00772B55" w:rsidRPr="00DC1256">
        <w:t>will slow the growth in expenditure on the PBS and allow new innovative medicines to be funded and allow more consumers access to these life enhancing medications.</w:t>
      </w:r>
      <w:r w:rsidR="004C1632" w:rsidRPr="00DC1256">
        <w:t xml:space="preserve"> </w:t>
      </w:r>
    </w:p>
    <w:p w:rsidR="009501C6" w:rsidRDefault="009501C6" w:rsidP="00DC1256">
      <w:pPr>
        <w:rPr>
          <w:rFonts w:asciiTheme="minorHAnsi" w:hAnsiTheme="minorHAnsi"/>
        </w:rPr>
      </w:pPr>
    </w:p>
    <w:p w:rsidR="009501C6" w:rsidRPr="00DC1256" w:rsidRDefault="00DC1256" w:rsidP="00DC1256">
      <w:pPr>
        <w:pStyle w:val="ListParagraph"/>
        <w:numPr>
          <w:ilvl w:val="0"/>
          <w:numId w:val="2"/>
        </w:numPr>
        <w:spacing w:after="0"/>
        <w:ind w:left="360"/>
      </w:pPr>
      <w:r w:rsidRPr="00DC1256">
        <w:t xml:space="preserve">Decisions regarding approval of </w:t>
      </w:r>
      <w:proofErr w:type="spellStart"/>
      <w:r w:rsidRPr="00DC1256">
        <w:t>biosimilars</w:t>
      </w:r>
      <w:proofErr w:type="spellEnd"/>
      <w:r w:rsidRPr="00DC1256">
        <w:t xml:space="preserve"> must be driven by sound science and within a robust regulatory framework. </w:t>
      </w:r>
      <w:r w:rsidR="009501C6" w:rsidRPr="00DC1256">
        <w:t xml:space="preserve">CHF expects robust policy and regulation will govern ‘a’ flagging of biosimilar medicines and their reference biologics.  This is essential to build public confidence. </w:t>
      </w:r>
    </w:p>
    <w:p w:rsidR="009501C6" w:rsidRDefault="009501C6" w:rsidP="00DC1256">
      <w:pPr>
        <w:rPr>
          <w:rFonts w:asciiTheme="minorHAnsi" w:hAnsiTheme="minorHAnsi"/>
        </w:rPr>
      </w:pPr>
    </w:p>
    <w:p w:rsidR="009501C6" w:rsidRPr="00DC1256" w:rsidRDefault="009501C6" w:rsidP="00DC1256">
      <w:pPr>
        <w:pStyle w:val="ListParagraph"/>
        <w:numPr>
          <w:ilvl w:val="0"/>
          <w:numId w:val="2"/>
        </w:numPr>
        <w:spacing w:after="0"/>
        <w:ind w:left="360"/>
      </w:pPr>
      <w:r w:rsidRPr="00DC1256">
        <w:t>CHF supports PBAC’s decision to make case-by-case recommendations with regard to ‘a’ flagging and expects that PBAC will take into account</w:t>
      </w:r>
      <w:r w:rsidR="00D33EEA" w:rsidRPr="00DC1256">
        <w:t xml:space="preserve"> appropriate information and additional expert opinion.  </w:t>
      </w:r>
      <w:r w:rsidRPr="00DC1256">
        <w:t xml:space="preserve">    </w:t>
      </w:r>
    </w:p>
    <w:p w:rsidR="004C1632" w:rsidRDefault="004C1632" w:rsidP="00DC1256">
      <w:pPr>
        <w:rPr>
          <w:rFonts w:asciiTheme="minorHAnsi" w:hAnsiTheme="minorHAnsi"/>
        </w:rPr>
      </w:pPr>
    </w:p>
    <w:p w:rsidR="001602A9" w:rsidRPr="00DC1256" w:rsidRDefault="000324C2" w:rsidP="00DC1256">
      <w:pPr>
        <w:pStyle w:val="ListParagraph"/>
        <w:numPr>
          <w:ilvl w:val="0"/>
          <w:numId w:val="2"/>
        </w:numPr>
        <w:spacing w:after="0"/>
        <w:ind w:left="360"/>
      </w:pPr>
      <w:r w:rsidRPr="00DC1256">
        <w:t xml:space="preserve">CHF supports a comprehensive </w:t>
      </w:r>
      <w:r w:rsidR="001602A9" w:rsidRPr="00DC1256">
        <w:t xml:space="preserve">education </w:t>
      </w:r>
      <w:r w:rsidRPr="00DC1256">
        <w:t xml:space="preserve">programme with reliable information </w:t>
      </w:r>
      <w:r w:rsidR="001602A9" w:rsidRPr="00DC1256">
        <w:t>for consumers, clinicians and pharmacists</w:t>
      </w:r>
      <w:r w:rsidRPr="00DC1256">
        <w:t xml:space="preserve">. This is </w:t>
      </w:r>
      <w:r w:rsidR="001602A9" w:rsidRPr="00DC1256">
        <w:t>an important component of ensuring</w:t>
      </w:r>
      <w:r w:rsidRPr="00DC1256">
        <w:t xml:space="preserve"> confidence and</w:t>
      </w:r>
      <w:r w:rsidR="001602A9" w:rsidRPr="00DC1256">
        <w:t xml:space="preserve"> greater uptake of </w:t>
      </w:r>
      <w:proofErr w:type="spellStart"/>
      <w:r w:rsidR="001602A9" w:rsidRPr="00DC1256">
        <w:t>biosimilars</w:t>
      </w:r>
      <w:proofErr w:type="spellEnd"/>
      <w:r w:rsidRPr="00DC1256">
        <w:t xml:space="preserve">. Education </w:t>
      </w:r>
      <w:r w:rsidR="001602A9" w:rsidRPr="00DC1256">
        <w:t>should be developed and implemented with involvement fr</w:t>
      </w:r>
      <w:r w:rsidRPr="00DC1256">
        <w:t>o</w:t>
      </w:r>
      <w:r w:rsidR="001602A9" w:rsidRPr="00DC1256">
        <w:t xml:space="preserve">m all three groups. </w:t>
      </w:r>
    </w:p>
    <w:p w:rsidR="001602A9" w:rsidRDefault="001602A9" w:rsidP="00DC1256">
      <w:pPr>
        <w:rPr>
          <w:rFonts w:asciiTheme="minorHAnsi" w:hAnsiTheme="minorHAnsi"/>
        </w:rPr>
      </w:pPr>
    </w:p>
    <w:p w:rsidR="001602A9" w:rsidRPr="00DC1256" w:rsidRDefault="001602A9" w:rsidP="00DC1256">
      <w:pPr>
        <w:pStyle w:val="ListParagraph"/>
        <w:numPr>
          <w:ilvl w:val="0"/>
          <w:numId w:val="2"/>
        </w:numPr>
        <w:spacing w:after="0"/>
        <w:ind w:left="360"/>
      </w:pPr>
      <w:r w:rsidRPr="00DC1256">
        <w:t xml:space="preserve">Consumers should always be engaged at all stages of the prescribing process, need to be </w:t>
      </w:r>
      <w:r w:rsidR="00902EE8" w:rsidRPr="00DC1256">
        <w:t xml:space="preserve">fully </w:t>
      </w:r>
      <w:r w:rsidRPr="00DC1256">
        <w:t xml:space="preserve">aware of the implications of any substitution and have the right to refuse it. </w:t>
      </w:r>
      <w:r w:rsidR="00D33EEA" w:rsidRPr="00DC1256">
        <w:t>Consumer consent and consultation when substituting is critical.</w:t>
      </w:r>
    </w:p>
    <w:p w:rsidR="001602A9" w:rsidRDefault="001602A9" w:rsidP="00DC1256">
      <w:pPr>
        <w:rPr>
          <w:rFonts w:asciiTheme="minorHAnsi" w:hAnsiTheme="minorHAnsi"/>
        </w:rPr>
      </w:pPr>
    </w:p>
    <w:p w:rsidR="00902EE8" w:rsidRPr="00DC1256" w:rsidRDefault="001602A9" w:rsidP="00DC1256">
      <w:pPr>
        <w:pStyle w:val="ListParagraph"/>
        <w:numPr>
          <w:ilvl w:val="0"/>
          <w:numId w:val="2"/>
        </w:numPr>
        <w:spacing w:after="0"/>
        <w:ind w:left="360"/>
      </w:pPr>
      <w:r w:rsidRPr="00DC1256">
        <w:t xml:space="preserve">Given the nature of biologics and biosimilars clinicians also need to be part of the process of deciding which medicine is given to a consumer and continue to have the right to indicate that no substitution should occur. </w:t>
      </w:r>
      <w:r w:rsidR="00902EE8" w:rsidRPr="00DC1256">
        <w:t xml:space="preserve">Ideally, the decision to substitute a biosimilar product should be made by the prescribing provider. </w:t>
      </w:r>
    </w:p>
    <w:p w:rsidR="001602A9" w:rsidRDefault="001602A9" w:rsidP="00DC1256">
      <w:pPr>
        <w:ind w:left="-360" w:firstLine="165"/>
        <w:rPr>
          <w:rFonts w:asciiTheme="minorHAnsi" w:hAnsiTheme="minorHAnsi"/>
        </w:rPr>
      </w:pPr>
    </w:p>
    <w:p w:rsidR="00D33EEA" w:rsidRPr="00DC1256" w:rsidRDefault="00D33EEA" w:rsidP="00DC1256">
      <w:pPr>
        <w:pStyle w:val="ListParagraph"/>
        <w:numPr>
          <w:ilvl w:val="0"/>
          <w:numId w:val="2"/>
        </w:numPr>
        <w:spacing w:after="0"/>
        <w:ind w:left="360"/>
      </w:pPr>
      <w:r w:rsidRPr="00DC1256">
        <w:t xml:space="preserve">Prescribers can indicate they do not wish to pharmacy level brand substitution to occur and it is an offence under the PBS legislation for a pharmacist to dispense a brand other than that specified on the prescription by the prescribing doctor.  CHF expects this legislation and these practices </w:t>
      </w:r>
      <w:r w:rsidRPr="00DC1256">
        <w:t>will</w:t>
      </w:r>
      <w:r w:rsidRPr="00DC1256">
        <w:t xml:space="preserve"> be upheld</w:t>
      </w:r>
      <w:r w:rsidRPr="00DC1256">
        <w:t>, enforced</w:t>
      </w:r>
      <w:r w:rsidRPr="00DC1256">
        <w:t xml:space="preserve"> and reinforced</w:t>
      </w:r>
      <w:r w:rsidRPr="00DC1256">
        <w:t xml:space="preserve"> in clinician education.</w:t>
      </w:r>
      <w:r w:rsidRPr="00DC1256">
        <w:t xml:space="preserve">  </w:t>
      </w:r>
    </w:p>
    <w:p w:rsidR="00D33EEA" w:rsidRDefault="00D33EEA" w:rsidP="00DC1256">
      <w:pPr>
        <w:ind w:left="-360" w:firstLine="60"/>
        <w:rPr>
          <w:rFonts w:asciiTheme="minorHAnsi" w:hAnsiTheme="minorHAnsi"/>
        </w:rPr>
      </w:pPr>
    </w:p>
    <w:p w:rsidR="00902EE8" w:rsidRPr="00DC1256" w:rsidRDefault="00902EE8" w:rsidP="00DC1256">
      <w:pPr>
        <w:pStyle w:val="ListParagraph"/>
        <w:numPr>
          <w:ilvl w:val="0"/>
          <w:numId w:val="2"/>
        </w:numPr>
        <w:spacing w:after="0"/>
        <w:ind w:left="360"/>
      </w:pPr>
      <w:proofErr w:type="spellStart"/>
      <w:r w:rsidRPr="00DC1256">
        <w:t>Biosimilars</w:t>
      </w:r>
      <w:proofErr w:type="spellEnd"/>
      <w:r w:rsidRPr="00DC1256">
        <w:t xml:space="preserve"> must have distinct names allowing them to be distinguished from each other and their reference products. This is essential for ongoing </w:t>
      </w:r>
      <w:proofErr w:type="spellStart"/>
      <w:r w:rsidRPr="00DC1256">
        <w:t>pharmacovigilence</w:t>
      </w:r>
      <w:proofErr w:type="spellEnd"/>
      <w:r w:rsidRPr="00DC1256">
        <w:t>.</w:t>
      </w:r>
    </w:p>
    <w:p w:rsidR="00902EE8" w:rsidRPr="00772B55" w:rsidRDefault="00902EE8" w:rsidP="00DC1256">
      <w:pPr>
        <w:ind w:left="-360" w:firstLine="105"/>
        <w:rPr>
          <w:rFonts w:asciiTheme="minorHAnsi" w:hAnsiTheme="minorHAnsi"/>
        </w:rPr>
      </w:pPr>
    </w:p>
    <w:p w:rsidR="00166A89" w:rsidRPr="00DC1256" w:rsidRDefault="00E31F10" w:rsidP="00DC1256">
      <w:pPr>
        <w:pStyle w:val="ListParagraph"/>
        <w:numPr>
          <w:ilvl w:val="0"/>
          <w:numId w:val="2"/>
        </w:numPr>
        <w:spacing w:after="0"/>
        <w:ind w:left="360"/>
      </w:pPr>
      <w:r w:rsidRPr="00DC1256">
        <w:lastRenderedPageBreak/>
        <w:t>One of the issues that needs addressing is the quality of evidence around switching between biosimilars which is a critical part of the process if pharmacy level substitution is ever to be</w:t>
      </w:r>
      <w:r w:rsidR="001602A9" w:rsidRPr="00DC1256">
        <w:t xml:space="preserve"> allowed. It is clear that the lack of evidence of any harm form switching does not necessarily mean that there is no harm. More work needs to be done on collecting such data and including it is future submissions for approval and post market monitoring. </w:t>
      </w:r>
    </w:p>
    <w:p w:rsidR="00EC476D" w:rsidRDefault="00EC476D" w:rsidP="00DC1256">
      <w:pPr>
        <w:rPr>
          <w:rFonts w:asciiTheme="minorHAnsi" w:hAnsiTheme="minorHAnsi"/>
        </w:rPr>
      </w:pPr>
    </w:p>
    <w:p w:rsidR="00DC1256" w:rsidRDefault="00DC1256">
      <w:pPr>
        <w:rPr>
          <w:rFonts w:asciiTheme="minorHAnsi" w:hAnsiTheme="minorHAnsi"/>
        </w:rPr>
      </w:pPr>
    </w:p>
    <w:p w:rsidR="00DC1256" w:rsidRPr="00166A89" w:rsidRDefault="00DC1256">
      <w:pPr>
        <w:rPr>
          <w:rFonts w:asciiTheme="minorHAnsi" w:hAnsiTheme="minorHAnsi"/>
        </w:rPr>
      </w:pPr>
    </w:p>
    <w:p w:rsidR="00DB58D3" w:rsidRPr="00166A89" w:rsidRDefault="00DB58D3" w:rsidP="00DB58D3">
      <w:pPr>
        <w:spacing w:before="120"/>
        <w:rPr>
          <w:rFonts w:asciiTheme="minorHAnsi" w:hAnsiTheme="minorHAnsi" w:cs="Arial"/>
          <w:b/>
          <w:color w:val="008080"/>
        </w:rPr>
      </w:pPr>
      <w:r w:rsidRPr="00166A89">
        <w:rPr>
          <w:rFonts w:asciiTheme="minorHAnsi" w:hAnsiTheme="minorHAnsi" w:cs="Arial"/>
          <w:b/>
          <w:color w:val="008080"/>
        </w:rPr>
        <w:t>CHF</w:t>
      </w:r>
    </w:p>
    <w:p w:rsidR="00DB58D3" w:rsidRPr="00166A89" w:rsidRDefault="00DB58D3" w:rsidP="00DB58D3">
      <w:pPr>
        <w:rPr>
          <w:rFonts w:asciiTheme="minorHAnsi" w:hAnsiTheme="minorHAnsi"/>
        </w:rPr>
      </w:pPr>
      <w:r w:rsidRPr="00166A89">
        <w:rPr>
          <w:rFonts w:asciiTheme="minorHAnsi" w:hAnsiTheme="minorHAnsi"/>
        </w:rPr>
        <w:t>CHF is the national peak body representing the interests of healthcare consumers with a network reaching millions of Australian consumers. Our members are diverse: they cover organisations and individuals with key conditions and issues across the health system and also include professionals and research bodies with an interest in healthcare consumer affairs.</w:t>
      </w:r>
    </w:p>
    <w:p w:rsidR="00DB58D3" w:rsidRPr="00166A89" w:rsidRDefault="00DB58D3" w:rsidP="00DB58D3">
      <w:pPr>
        <w:rPr>
          <w:rFonts w:asciiTheme="minorHAnsi" w:hAnsiTheme="minorHAnsi"/>
        </w:rPr>
      </w:pPr>
      <w:bookmarkStart w:id="0" w:name="_GoBack"/>
      <w:bookmarkEnd w:id="0"/>
      <w:r w:rsidRPr="00166A89">
        <w:rPr>
          <w:rFonts w:asciiTheme="minorHAnsi" w:hAnsiTheme="minorHAnsi"/>
        </w:rPr>
        <w:t xml:space="preserve"> </w:t>
      </w:r>
    </w:p>
    <w:sectPr w:rsidR="00DB58D3" w:rsidRPr="00166A89" w:rsidSect="0074007D">
      <w:footerReference w:type="default" r:id="rId9"/>
      <w:pgSz w:w="11906" w:h="16838" w:code="9"/>
      <w:pgMar w:top="567" w:right="1418" w:bottom="1418" w:left="1418" w:header="2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262" w:rsidRDefault="001C5262">
      <w:r>
        <w:separator/>
      </w:r>
    </w:p>
  </w:endnote>
  <w:endnote w:type="continuationSeparator" w:id="0">
    <w:p w:rsidR="001C5262" w:rsidRDefault="001C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4C" w:rsidRPr="00C30F4C" w:rsidRDefault="00680CEA" w:rsidP="00C30F4C">
    <w:pPr>
      <w:pStyle w:val="Footer"/>
      <w:tabs>
        <w:tab w:val="clear" w:pos="8306"/>
      </w:tabs>
      <w:ind w:right="-1370"/>
      <w:jc w:val="right"/>
      <w:rPr>
        <w:sz w:val="20"/>
      </w:rPr>
    </w:pPr>
    <w:r>
      <w:rPr>
        <w:noProof/>
        <w:sz w:val="20"/>
      </w:rPr>
      <w:drawing>
        <wp:inline distT="0" distB="0" distL="0" distR="0">
          <wp:extent cx="5135880" cy="792480"/>
          <wp:effectExtent l="0" t="0" r="7620" b="7620"/>
          <wp:docPr id="3" name="Picture 3" descr="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5880" cy="7924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262" w:rsidRDefault="001C5262">
      <w:r>
        <w:separator/>
      </w:r>
    </w:p>
  </w:footnote>
  <w:footnote w:type="continuationSeparator" w:id="0">
    <w:p w:rsidR="001C5262" w:rsidRDefault="001C5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31173"/>
    <w:multiLevelType w:val="hybridMultilevel"/>
    <w:tmpl w:val="408A7F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A1E15CF"/>
    <w:multiLevelType w:val="hybridMultilevel"/>
    <w:tmpl w:val="DC2AF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EA"/>
    <w:rsid w:val="000037D2"/>
    <w:rsid w:val="00014C13"/>
    <w:rsid w:val="0002049D"/>
    <w:rsid w:val="00020CA8"/>
    <w:rsid w:val="0002167D"/>
    <w:rsid w:val="000324C2"/>
    <w:rsid w:val="00041012"/>
    <w:rsid w:val="00052E5F"/>
    <w:rsid w:val="00056D2F"/>
    <w:rsid w:val="0005786F"/>
    <w:rsid w:val="00064A34"/>
    <w:rsid w:val="0006718C"/>
    <w:rsid w:val="000C02F0"/>
    <w:rsid w:val="000C2550"/>
    <w:rsid w:val="000C76F1"/>
    <w:rsid w:val="000D15C2"/>
    <w:rsid w:val="000D6370"/>
    <w:rsid w:val="000E7310"/>
    <w:rsid w:val="000F7FE4"/>
    <w:rsid w:val="001021DC"/>
    <w:rsid w:val="0010274F"/>
    <w:rsid w:val="00106B04"/>
    <w:rsid w:val="00106F8D"/>
    <w:rsid w:val="00127F90"/>
    <w:rsid w:val="00141654"/>
    <w:rsid w:val="00141962"/>
    <w:rsid w:val="00143DE1"/>
    <w:rsid w:val="00144F02"/>
    <w:rsid w:val="00145527"/>
    <w:rsid w:val="00157D46"/>
    <w:rsid w:val="001602A9"/>
    <w:rsid w:val="00166A89"/>
    <w:rsid w:val="0018590D"/>
    <w:rsid w:val="001912AB"/>
    <w:rsid w:val="001A1BF0"/>
    <w:rsid w:val="001C000D"/>
    <w:rsid w:val="001C0A38"/>
    <w:rsid w:val="001C1E2E"/>
    <w:rsid w:val="001C2D4E"/>
    <w:rsid w:val="001C5262"/>
    <w:rsid w:val="001C71B9"/>
    <w:rsid w:val="001D63DC"/>
    <w:rsid w:val="001E41C4"/>
    <w:rsid w:val="001E75EC"/>
    <w:rsid w:val="001F1384"/>
    <w:rsid w:val="001F487C"/>
    <w:rsid w:val="001F5D1E"/>
    <w:rsid w:val="00203BC7"/>
    <w:rsid w:val="00210647"/>
    <w:rsid w:val="00211BA4"/>
    <w:rsid w:val="00213AC4"/>
    <w:rsid w:val="002312C9"/>
    <w:rsid w:val="00233F2B"/>
    <w:rsid w:val="00237251"/>
    <w:rsid w:val="00246058"/>
    <w:rsid w:val="00254BE8"/>
    <w:rsid w:val="002643E2"/>
    <w:rsid w:val="00265A01"/>
    <w:rsid w:val="00280457"/>
    <w:rsid w:val="002836BA"/>
    <w:rsid w:val="002A1AC6"/>
    <w:rsid w:val="002A6CC2"/>
    <w:rsid w:val="002B39BB"/>
    <w:rsid w:val="002C1577"/>
    <w:rsid w:val="002C2023"/>
    <w:rsid w:val="002C2FD2"/>
    <w:rsid w:val="002D1B06"/>
    <w:rsid w:val="002D1D0D"/>
    <w:rsid w:val="002E03AB"/>
    <w:rsid w:val="002E17B9"/>
    <w:rsid w:val="002E37CC"/>
    <w:rsid w:val="002E4CB0"/>
    <w:rsid w:val="00300AEA"/>
    <w:rsid w:val="00306AB0"/>
    <w:rsid w:val="00332B9A"/>
    <w:rsid w:val="0033662A"/>
    <w:rsid w:val="0034607D"/>
    <w:rsid w:val="0036232C"/>
    <w:rsid w:val="0036781B"/>
    <w:rsid w:val="00370427"/>
    <w:rsid w:val="003A2521"/>
    <w:rsid w:val="003A2882"/>
    <w:rsid w:val="003A7939"/>
    <w:rsid w:val="003C0665"/>
    <w:rsid w:val="003C1F40"/>
    <w:rsid w:val="003C7EB4"/>
    <w:rsid w:val="003D167D"/>
    <w:rsid w:val="003D293B"/>
    <w:rsid w:val="003D42CB"/>
    <w:rsid w:val="00414005"/>
    <w:rsid w:val="004279BF"/>
    <w:rsid w:val="00436688"/>
    <w:rsid w:val="004447C2"/>
    <w:rsid w:val="00447AF4"/>
    <w:rsid w:val="00454441"/>
    <w:rsid w:val="00471A4F"/>
    <w:rsid w:val="00480EAB"/>
    <w:rsid w:val="004C0DF1"/>
    <w:rsid w:val="004C1632"/>
    <w:rsid w:val="004C218F"/>
    <w:rsid w:val="004C45AF"/>
    <w:rsid w:val="004D055D"/>
    <w:rsid w:val="004D3D46"/>
    <w:rsid w:val="004D7D97"/>
    <w:rsid w:val="00506163"/>
    <w:rsid w:val="00506886"/>
    <w:rsid w:val="00533E1A"/>
    <w:rsid w:val="005476C2"/>
    <w:rsid w:val="005555D1"/>
    <w:rsid w:val="00556229"/>
    <w:rsid w:val="005614B1"/>
    <w:rsid w:val="00571584"/>
    <w:rsid w:val="00573A20"/>
    <w:rsid w:val="00581EF8"/>
    <w:rsid w:val="005924F8"/>
    <w:rsid w:val="00592B2C"/>
    <w:rsid w:val="005A1E19"/>
    <w:rsid w:val="005A5C6E"/>
    <w:rsid w:val="005A728E"/>
    <w:rsid w:val="005B454A"/>
    <w:rsid w:val="005B4945"/>
    <w:rsid w:val="005B782C"/>
    <w:rsid w:val="005C0D30"/>
    <w:rsid w:val="005C1AAE"/>
    <w:rsid w:val="005C2BF5"/>
    <w:rsid w:val="005C5C72"/>
    <w:rsid w:val="005C7D6C"/>
    <w:rsid w:val="005D4F12"/>
    <w:rsid w:val="005D679C"/>
    <w:rsid w:val="005E49C2"/>
    <w:rsid w:val="005F3110"/>
    <w:rsid w:val="0062428B"/>
    <w:rsid w:val="00627C30"/>
    <w:rsid w:val="0066050D"/>
    <w:rsid w:val="006631B8"/>
    <w:rsid w:val="00667696"/>
    <w:rsid w:val="006713EC"/>
    <w:rsid w:val="006734D6"/>
    <w:rsid w:val="00680CEA"/>
    <w:rsid w:val="006910D6"/>
    <w:rsid w:val="006931D3"/>
    <w:rsid w:val="006A1323"/>
    <w:rsid w:val="006A3F12"/>
    <w:rsid w:val="006C5167"/>
    <w:rsid w:val="006C5C08"/>
    <w:rsid w:val="006D00BF"/>
    <w:rsid w:val="006D2677"/>
    <w:rsid w:val="006D4702"/>
    <w:rsid w:val="006D69A9"/>
    <w:rsid w:val="006E7684"/>
    <w:rsid w:val="006F6ECA"/>
    <w:rsid w:val="006F72EC"/>
    <w:rsid w:val="00710C51"/>
    <w:rsid w:val="007161F0"/>
    <w:rsid w:val="0071693E"/>
    <w:rsid w:val="00720C50"/>
    <w:rsid w:val="00723FDF"/>
    <w:rsid w:val="007327BF"/>
    <w:rsid w:val="00732B7F"/>
    <w:rsid w:val="0074007D"/>
    <w:rsid w:val="007401B1"/>
    <w:rsid w:val="00740E6D"/>
    <w:rsid w:val="0074284B"/>
    <w:rsid w:val="00760B08"/>
    <w:rsid w:val="00760DFE"/>
    <w:rsid w:val="00762155"/>
    <w:rsid w:val="00770612"/>
    <w:rsid w:val="00772B55"/>
    <w:rsid w:val="00776C4A"/>
    <w:rsid w:val="00777F52"/>
    <w:rsid w:val="00780C72"/>
    <w:rsid w:val="00794392"/>
    <w:rsid w:val="007A015C"/>
    <w:rsid w:val="007C1700"/>
    <w:rsid w:val="007C1A0B"/>
    <w:rsid w:val="007C7999"/>
    <w:rsid w:val="007C7C15"/>
    <w:rsid w:val="007D0420"/>
    <w:rsid w:val="007D2BDF"/>
    <w:rsid w:val="007D6C77"/>
    <w:rsid w:val="007E2997"/>
    <w:rsid w:val="007E4D75"/>
    <w:rsid w:val="007F077A"/>
    <w:rsid w:val="007F13F9"/>
    <w:rsid w:val="007F3267"/>
    <w:rsid w:val="00800D35"/>
    <w:rsid w:val="00815E03"/>
    <w:rsid w:val="00824C67"/>
    <w:rsid w:val="00831F8E"/>
    <w:rsid w:val="0083363D"/>
    <w:rsid w:val="00856209"/>
    <w:rsid w:val="008631C7"/>
    <w:rsid w:val="00875100"/>
    <w:rsid w:val="00880483"/>
    <w:rsid w:val="00881845"/>
    <w:rsid w:val="00882820"/>
    <w:rsid w:val="0088731A"/>
    <w:rsid w:val="008956A3"/>
    <w:rsid w:val="00896E5C"/>
    <w:rsid w:val="008B50CD"/>
    <w:rsid w:val="008D6AE8"/>
    <w:rsid w:val="008E1141"/>
    <w:rsid w:val="008E4441"/>
    <w:rsid w:val="008F339A"/>
    <w:rsid w:val="00902D3A"/>
    <w:rsid w:val="00902EE8"/>
    <w:rsid w:val="00905A99"/>
    <w:rsid w:val="00915F94"/>
    <w:rsid w:val="009256A4"/>
    <w:rsid w:val="00934C7F"/>
    <w:rsid w:val="009420AA"/>
    <w:rsid w:val="009424A2"/>
    <w:rsid w:val="00944018"/>
    <w:rsid w:val="00945DE9"/>
    <w:rsid w:val="00946800"/>
    <w:rsid w:val="009501C6"/>
    <w:rsid w:val="00963A90"/>
    <w:rsid w:val="00967DD4"/>
    <w:rsid w:val="00972186"/>
    <w:rsid w:val="00981179"/>
    <w:rsid w:val="00993312"/>
    <w:rsid w:val="009A1D56"/>
    <w:rsid w:val="009B0E6C"/>
    <w:rsid w:val="009D1B8F"/>
    <w:rsid w:val="009E4C10"/>
    <w:rsid w:val="009E5FEA"/>
    <w:rsid w:val="009F5BD4"/>
    <w:rsid w:val="009F72BA"/>
    <w:rsid w:val="00A0114F"/>
    <w:rsid w:val="00A028A0"/>
    <w:rsid w:val="00A1210F"/>
    <w:rsid w:val="00A12D34"/>
    <w:rsid w:val="00A13145"/>
    <w:rsid w:val="00A17072"/>
    <w:rsid w:val="00A220F0"/>
    <w:rsid w:val="00A27437"/>
    <w:rsid w:val="00A32519"/>
    <w:rsid w:val="00A45BB1"/>
    <w:rsid w:val="00A470C9"/>
    <w:rsid w:val="00A5500B"/>
    <w:rsid w:val="00A5520C"/>
    <w:rsid w:val="00A66796"/>
    <w:rsid w:val="00A7794F"/>
    <w:rsid w:val="00A80993"/>
    <w:rsid w:val="00A901FD"/>
    <w:rsid w:val="00A94250"/>
    <w:rsid w:val="00AA0DCA"/>
    <w:rsid w:val="00AA0DE2"/>
    <w:rsid w:val="00AA2367"/>
    <w:rsid w:val="00AA6AA2"/>
    <w:rsid w:val="00AB66CA"/>
    <w:rsid w:val="00AB764E"/>
    <w:rsid w:val="00AC3AAF"/>
    <w:rsid w:val="00AC59F9"/>
    <w:rsid w:val="00AC6C0D"/>
    <w:rsid w:val="00AF1A9F"/>
    <w:rsid w:val="00AF1CFE"/>
    <w:rsid w:val="00AF67AF"/>
    <w:rsid w:val="00B000C1"/>
    <w:rsid w:val="00B02116"/>
    <w:rsid w:val="00B02832"/>
    <w:rsid w:val="00B241E0"/>
    <w:rsid w:val="00B36AEF"/>
    <w:rsid w:val="00B503AE"/>
    <w:rsid w:val="00B53A98"/>
    <w:rsid w:val="00B657A8"/>
    <w:rsid w:val="00B76206"/>
    <w:rsid w:val="00B95996"/>
    <w:rsid w:val="00B95EEF"/>
    <w:rsid w:val="00BA34CE"/>
    <w:rsid w:val="00BA6D03"/>
    <w:rsid w:val="00BA750A"/>
    <w:rsid w:val="00BA79C7"/>
    <w:rsid w:val="00BB04DB"/>
    <w:rsid w:val="00BB07EF"/>
    <w:rsid w:val="00BB4666"/>
    <w:rsid w:val="00BD2A89"/>
    <w:rsid w:val="00BF0706"/>
    <w:rsid w:val="00BF354C"/>
    <w:rsid w:val="00BF446B"/>
    <w:rsid w:val="00C01BA3"/>
    <w:rsid w:val="00C10705"/>
    <w:rsid w:val="00C14F96"/>
    <w:rsid w:val="00C17CEF"/>
    <w:rsid w:val="00C2035E"/>
    <w:rsid w:val="00C23F1E"/>
    <w:rsid w:val="00C27284"/>
    <w:rsid w:val="00C30F4C"/>
    <w:rsid w:val="00C3296F"/>
    <w:rsid w:val="00C35151"/>
    <w:rsid w:val="00C379F3"/>
    <w:rsid w:val="00C401A7"/>
    <w:rsid w:val="00C43066"/>
    <w:rsid w:val="00C53C6E"/>
    <w:rsid w:val="00C57485"/>
    <w:rsid w:val="00C57800"/>
    <w:rsid w:val="00C64EC0"/>
    <w:rsid w:val="00C65AF4"/>
    <w:rsid w:val="00C73D8E"/>
    <w:rsid w:val="00C73EEC"/>
    <w:rsid w:val="00C9749C"/>
    <w:rsid w:val="00CA19B1"/>
    <w:rsid w:val="00CA4F10"/>
    <w:rsid w:val="00CA4FD0"/>
    <w:rsid w:val="00CB03E6"/>
    <w:rsid w:val="00CB4D8F"/>
    <w:rsid w:val="00CC7D79"/>
    <w:rsid w:val="00CD0FEC"/>
    <w:rsid w:val="00CE2101"/>
    <w:rsid w:val="00CE6FD0"/>
    <w:rsid w:val="00D026C5"/>
    <w:rsid w:val="00D10C9E"/>
    <w:rsid w:val="00D121B1"/>
    <w:rsid w:val="00D1726D"/>
    <w:rsid w:val="00D30C2F"/>
    <w:rsid w:val="00D33EEA"/>
    <w:rsid w:val="00D450FB"/>
    <w:rsid w:val="00D54063"/>
    <w:rsid w:val="00D6214A"/>
    <w:rsid w:val="00D81D2A"/>
    <w:rsid w:val="00D83D1F"/>
    <w:rsid w:val="00D8605A"/>
    <w:rsid w:val="00DA70FE"/>
    <w:rsid w:val="00DB2E5B"/>
    <w:rsid w:val="00DB58D3"/>
    <w:rsid w:val="00DB79FC"/>
    <w:rsid w:val="00DB7DF6"/>
    <w:rsid w:val="00DC1256"/>
    <w:rsid w:val="00DC64E0"/>
    <w:rsid w:val="00DE0062"/>
    <w:rsid w:val="00E07952"/>
    <w:rsid w:val="00E10710"/>
    <w:rsid w:val="00E31F10"/>
    <w:rsid w:val="00E51CD5"/>
    <w:rsid w:val="00E71C6F"/>
    <w:rsid w:val="00E838F8"/>
    <w:rsid w:val="00E84C80"/>
    <w:rsid w:val="00E950FA"/>
    <w:rsid w:val="00E9666D"/>
    <w:rsid w:val="00E96857"/>
    <w:rsid w:val="00EA6903"/>
    <w:rsid w:val="00EB5935"/>
    <w:rsid w:val="00EC06E9"/>
    <w:rsid w:val="00EC476D"/>
    <w:rsid w:val="00ED38C2"/>
    <w:rsid w:val="00EE66E0"/>
    <w:rsid w:val="00EF0012"/>
    <w:rsid w:val="00EF5872"/>
    <w:rsid w:val="00F03ECA"/>
    <w:rsid w:val="00F072AD"/>
    <w:rsid w:val="00F115F2"/>
    <w:rsid w:val="00F33E71"/>
    <w:rsid w:val="00F5272C"/>
    <w:rsid w:val="00F632AE"/>
    <w:rsid w:val="00F63847"/>
    <w:rsid w:val="00F67F6B"/>
    <w:rsid w:val="00F760AB"/>
    <w:rsid w:val="00F80FB6"/>
    <w:rsid w:val="00F82286"/>
    <w:rsid w:val="00F83FCE"/>
    <w:rsid w:val="00F8471E"/>
    <w:rsid w:val="00FA1957"/>
    <w:rsid w:val="00FA39B0"/>
    <w:rsid w:val="00FA5FA9"/>
    <w:rsid w:val="00FB3439"/>
    <w:rsid w:val="00FC541E"/>
    <w:rsid w:val="00FD6514"/>
    <w:rsid w:val="00FD6957"/>
    <w:rsid w:val="00FD7BB6"/>
    <w:rsid w:val="00FE36AD"/>
    <w:rsid w:val="00FF2047"/>
    <w:rsid w:val="00FF2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120ED1-8DB4-4D97-95F2-CB67A678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0F4C"/>
    <w:pPr>
      <w:tabs>
        <w:tab w:val="center" w:pos="4153"/>
        <w:tab w:val="right" w:pos="8306"/>
      </w:tabs>
    </w:pPr>
  </w:style>
  <w:style w:type="paragraph" w:styleId="Footer">
    <w:name w:val="footer"/>
    <w:basedOn w:val="Normal"/>
    <w:rsid w:val="00C30F4C"/>
    <w:pPr>
      <w:tabs>
        <w:tab w:val="center" w:pos="4153"/>
        <w:tab w:val="right" w:pos="8306"/>
      </w:tabs>
    </w:pPr>
  </w:style>
  <w:style w:type="table" w:styleId="TableGrid">
    <w:name w:val="Table Grid"/>
    <w:basedOn w:val="TableNormal"/>
    <w:rsid w:val="00C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next w:val="Normal"/>
    <w:link w:val="NormalBoldChar"/>
    <w:rsid w:val="00211BA4"/>
    <w:rPr>
      <w:b/>
      <w:bCs/>
      <w:sz w:val="24"/>
      <w:szCs w:val="24"/>
    </w:rPr>
  </w:style>
  <w:style w:type="character" w:customStyle="1" w:styleId="NormalBoldChar">
    <w:name w:val="Normal Bold Char"/>
    <w:link w:val="NormalBold"/>
    <w:rsid w:val="00211BA4"/>
    <w:rPr>
      <w:b/>
      <w:bCs/>
      <w:sz w:val="24"/>
      <w:szCs w:val="24"/>
      <w:lang w:val="en-AU" w:eastAsia="en-AU" w:bidi="ar-SA"/>
    </w:rPr>
  </w:style>
  <w:style w:type="paragraph" w:customStyle="1" w:styleId="FactTitle2">
    <w:name w:val="Fact Title 2"/>
    <w:basedOn w:val="FactTitle"/>
    <w:rsid w:val="00680CEA"/>
    <w:pPr>
      <w:spacing w:before="0"/>
    </w:pPr>
    <w:rPr>
      <w:b w:val="0"/>
      <w:bCs w:val="0"/>
      <w:i/>
      <w:iCs/>
    </w:rPr>
  </w:style>
  <w:style w:type="paragraph" w:customStyle="1" w:styleId="FactTitle">
    <w:name w:val="Fact Title"/>
    <w:basedOn w:val="Normal"/>
    <w:rsid w:val="00680CEA"/>
    <w:pPr>
      <w:keepNext/>
      <w:widowControl w:val="0"/>
      <w:spacing w:before="240"/>
      <w:jc w:val="center"/>
      <w:outlineLvl w:val="0"/>
    </w:pPr>
    <w:rPr>
      <w:rFonts w:ascii="Arial" w:hAnsi="Arial" w:cs="Arial"/>
      <w:b/>
      <w:bCs/>
      <w:sz w:val="28"/>
      <w:szCs w:val="28"/>
      <w:lang w:eastAsia="en-US"/>
    </w:rPr>
  </w:style>
  <w:style w:type="paragraph" w:styleId="BalloonText">
    <w:name w:val="Balloon Text"/>
    <w:basedOn w:val="Normal"/>
    <w:link w:val="BalloonTextChar"/>
    <w:rsid w:val="00AC3AAF"/>
    <w:rPr>
      <w:rFonts w:ascii="Tahoma" w:hAnsi="Tahoma" w:cs="Tahoma"/>
      <w:sz w:val="16"/>
      <w:szCs w:val="16"/>
    </w:rPr>
  </w:style>
  <w:style w:type="character" w:customStyle="1" w:styleId="BalloonTextChar">
    <w:name w:val="Balloon Text Char"/>
    <w:basedOn w:val="DefaultParagraphFont"/>
    <w:link w:val="BalloonText"/>
    <w:rsid w:val="00AC3AAF"/>
    <w:rPr>
      <w:rFonts w:ascii="Tahoma" w:hAnsi="Tahoma" w:cs="Tahoma"/>
      <w:sz w:val="16"/>
      <w:szCs w:val="16"/>
    </w:rPr>
  </w:style>
  <w:style w:type="paragraph" w:styleId="ListParagraph">
    <w:name w:val="List Paragraph"/>
    <w:basedOn w:val="Normal"/>
    <w:uiPriority w:val="34"/>
    <w:qFormat/>
    <w:rsid w:val="00EC47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9FE225363074CB509158C0BD7E36D" ma:contentTypeVersion="7" ma:contentTypeDescription="Create a new document." ma:contentTypeScope="" ma:versionID="154dc32b596707615e2b6eb5397163e2">
  <xsd:schema xmlns:xsd="http://www.w3.org/2001/XMLSchema" xmlns:xs="http://www.w3.org/2001/XMLSchema" xmlns:p="http://schemas.microsoft.com/office/2006/metadata/properties" xmlns:ns2="6cab5f19-c8a1-45c4-96c1-05d9a73a3fe4" xmlns:ns3="0f4bdde2-1fd3-49de-b520-3a54132a75ca" targetNamespace="http://schemas.microsoft.com/office/2006/metadata/properties" ma:root="true" ma:fieldsID="62da58fe6c266135941dc7bbef4bf487" ns2:_="" ns3:_="">
    <xsd:import namespace="6cab5f19-c8a1-45c4-96c1-05d9a73a3fe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5f19-c8a1-45c4-96c1-05d9a73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30307-0368-4D99-943D-4E83C9C9C4B8}"/>
</file>

<file path=customXml/itemProps2.xml><?xml version="1.0" encoding="utf-8"?>
<ds:datastoreItem xmlns:ds="http://schemas.openxmlformats.org/officeDocument/2006/customXml" ds:itemID="{E3C1223B-A910-44DE-A2E2-3873F26DCBF4}"/>
</file>

<file path=customXml/itemProps3.xml><?xml version="1.0" encoding="utf-8"?>
<ds:datastoreItem xmlns:ds="http://schemas.openxmlformats.org/officeDocument/2006/customXml" ds:itemID="{CE8D9952-DFF4-47B8-8FF2-6CA340BE7EE4}"/>
</file>

<file path=docProps/app.xml><?xml version="1.0" encoding="utf-8"?>
<Properties xmlns="http://schemas.openxmlformats.org/officeDocument/2006/extended-properties" xmlns:vt="http://schemas.openxmlformats.org/officeDocument/2006/docPropsVTypes">
  <Template>Normal</Template>
  <TotalTime>13</TotalTime>
  <Pages>3</Pages>
  <Words>824</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Walls</dc:creator>
  <cp:lastModifiedBy>Leanne Wells</cp:lastModifiedBy>
  <cp:revision>3</cp:revision>
  <cp:lastPrinted>2011-07-19T01:53:00Z</cp:lastPrinted>
  <dcterms:created xsi:type="dcterms:W3CDTF">2015-08-27T08:17:00Z</dcterms:created>
  <dcterms:modified xsi:type="dcterms:W3CDTF">2015-08-27T08:30:00Z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0x0101002019FE225363074CB509158C0BD7E36D</vt:lpwstr>
  </property>
  <property fmtid="{D5CDD505-2E9C-101B-9397-08002B2CF9AE}" pid="3" name="Order">
    <vt:r8>2000</vt:r8>
  </property>
</Properties>
</file>