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spacing w:before="28"/>
        <w:rPr>
          <w:sz w:val="20"/>
        </w:rPr>
      </w:pPr>
    </w:p>
    <w:p>
      <w:pPr>
        <w:pStyle w:val="BodyText"/>
        <w:rPr>
          <w:sz w:val="20"/>
        </w:rPr>
      </w:pPr>
      <w:r>
        <w:rPr>
          <w:sz w:val="20"/>
        </w:rPr>
        <w:drawing>
          <wp:inline distT="0" distB="0" distL="0" distR="0">
            <wp:extent cx="4740021" cy="20116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40021" cy="201168"/>
                    </a:xfrm>
                    <a:prstGeom prst="rect">
                      <a:avLst/>
                    </a:prstGeom>
                  </pic:spPr>
                </pic:pic>
              </a:graphicData>
            </a:graphic>
          </wp:inline>
        </w:drawing>
      </w:r>
      <w:r>
        <w:rPr>
          <w:sz w:val="20"/>
        </w:rPr>
      </w:r>
    </w:p>
    <w:p>
      <w:pPr>
        <w:pStyle w:val="Title"/>
      </w:pPr>
      <w:r>
        <w:rPr/>
        <w:drawing>
          <wp:anchor distT="0" distB="0" distL="0" distR="0" allowOverlap="1" layoutInCell="1" locked="0" behindDoc="0" simplePos="0" relativeHeight="15728640">
            <wp:simplePos x="0" y="0"/>
            <wp:positionH relativeFrom="page">
              <wp:posOffset>5798820</wp:posOffset>
            </wp:positionH>
            <wp:positionV relativeFrom="paragraph">
              <wp:posOffset>-803275</wp:posOffset>
            </wp:positionV>
            <wp:extent cx="1206500" cy="1649950"/>
            <wp:effectExtent l="0" t="0" r="0" b="0"/>
            <wp:wrapNone/>
            <wp:docPr id="3" name="Image 3" descr="CHF_logoRGB"/>
            <wp:cNvGraphicFramePr>
              <a:graphicFrameLocks/>
            </wp:cNvGraphicFramePr>
            <a:graphic>
              <a:graphicData uri="http://schemas.openxmlformats.org/drawingml/2006/picture">
                <pic:pic>
                  <pic:nvPicPr>
                    <pic:cNvPr id="3" name="Image 3" descr="CHF_logoRGB"/>
                    <pic:cNvPicPr/>
                  </pic:nvPicPr>
                  <pic:blipFill>
                    <a:blip r:embed="rId7" cstate="print"/>
                    <a:stretch>
                      <a:fillRect/>
                    </a:stretch>
                  </pic:blipFill>
                  <pic:spPr>
                    <a:xfrm>
                      <a:off x="0" y="0"/>
                      <a:ext cx="1206500" cy="1649950"/>
                    </a:xfrm>
                    <a:prstGeom prst="rect">
                      <a:avLst/>
                    </a:prstGeom>
                  </pic:spPr>
                </pic:pic>
              </a:graphicData>
            </a:graphic>
          </wp:anchor>
        </w:drawing>
      </w:r>
      <w:r>
        <w:rPr>
          <w:color w:val="008080"/>
        </w:rPr>
        <w:t>Private Health</w:t>
      </w:r>
      <w:r>
        <w:rPr>
          <w:color w:val="008080"/>
          <w:spacing w:val="1"/>
        </w:rPr>
        <w:t> </w:t>
      </w:r>
      <w:r>
        <w:rPr>
          <w:color w:val="008080"/>
          <w:spacing w:val="-2"/>
        </w:rPr>
        <w:t>Insurance</w:t>
      </w:r>
    </w:p>
    <w:p>
      <w:pPr>
        <w:spacing w:line="368" w:lineRule="exact" w:before="63"/>
        <w:ind w:left="1418" w:right="0" w:firstLine="0"/>
        <w:jc w:val="left"/>
        <w:rPr>
          <w:b/>
          <w:sz w:val="32"/>
        </w:rPr>
      </w:pPr>
      <w:r>
        <w:rPr>
          <w:b/>
          <w:color w:val="FF6600"/>
          <w:sz w:val="32"/>
        </w:rPr>
        <w:t>Preserving</w:t>
      </w:r>
      <w:r>
        <w:rPr>
          <w:b/>
          <w:color w:val="FF6600"/>
          <w:spacing w:val="-13"/>
          <w:sz w:val="32"/>
        </w:rPr>
        <w:t> </w:t>
      </w:r>
      <w:r>
        <w:rPr>
          <w:b/>
          <w:color w:val="FF6600"/>
          <w:sz w:val="32"/>
        </w:rPr>
        <w:t>Consumer</w:t>
      </w:r>
      <w:r>
        <w:rPr>
          <w:b/>
          <w:color w:val="FF6600"/>
          <w:spacing w:val="-12"/>
          <w:sz w:val="32"/>
        </w:rPr>
        <w:t> </w:t>
      </w:r>
      <w:r>
        <w:rPr>
          <w:b/>
          <w:color w:val="FF6600"/>
          <w:sz w:val="32"/>
        </w:rPr>
        <w:t>Choices</w:t>
      </w:r>
      <w:r>
        <w:rPr>
          <w:b/>
          <w:color w:val="FF6600"/>
          <w:spacing w:val="-9"/>
          <w:sz w:val="32"/>
        </w:rPr>
        <w:t> </w:t>
      </w:r>
      <w:r>
        <w:rPr>
          <w:b/>
          <w:color w:val="FF6600"/>
          <w:spacing w:val="-2"/>
          <w:sz w:val="32"/>
        </w:rPr>
        <w:t>Without</w:t>
      </w:r>
    </w:p>
    <w:p>
      <w:pPr>
        <w:spacing w:line="368" w:lineRule="exact" w:before="0"/>
        <w:ind w:left="1418" w:right="0" w:firstLine="0"/>
        <w:jc w:val="left"/>
        <w:rPr>
          <w:b/>
          <w:sz w:val="32"/>
        </w:rPr>
      </w:pPr>
      <w:r>
        <w:rPr>
          <w:b/>
          <w:color w:val="FF6600"/>
          <w:sz w:val="32"/>
        </w:rPr>
        <w:t>Sacrificing</w:t>
      </w:r>
      <w:r>
        <w:rPr>
          <w:b/>
          <w:color w:val="FF6600"/>
          <w:spacing w:val="-9"/>
          <w:sz w:val="32"/>
        </w:rPr>
        <w:t> </w:t>
      </w:r>
      <w:r>
        <w:rPr>
          <w:b/>
          <w:color w:val="FF6600"/>
          <w:sz w:val="32"/>
        </w:rPr>
        <w:t>the</w:t>
      </w:r>
      <w:r>
        <w:rPr>
          <w:b/>
          <w:color w:val="FF6600"/>
          <w:spacing w:val="-10"/>
          <w:sz w:val="32"/>
        </w:rPr>
        <w:t> </w:t>
      </w:r>
      <w:r>
        <w:rPr>
          <w:b/>
          <w:color w:val="FF6600"/>
          <w:sz w:val="32"/>
        </w:rPr>
        <w:t>Principles</w:t>
      </w:r>
      <w:r>
        <w:rPr>
          <w:b/>
          <w:color w:val="FF6600"/>
          <w:spacing w:val="-10"/>
          <w:sz w:val="32"/>
        </w:rPr>
        <w:t> </w:t>
      </w:r>
      <w:r>
        <w:rPr>
          <w:b/>
          <w:color w:val="FF6600"/>
          <w:sz w:val="32"/>
        </w:rPr>
        <w:t>of</w:t>
      </w:r>
      <w:r>
        <w:rPr>
          <w:b/>
          <w:color w:val="FF6600"/>
          <w:spacing w:val="-9"/>
          <w:sz w:val="32"/>
        </w:rPr>
        <w:t> </w:t>
      </w:r>
      <w:r>
        <w:rPr>
          <w:b/>
          <w:color w:val="FF6600"/>
          <w:sz w:val="32"/>
        </w:rPr>
        <w:t>Universal</w:t>
      </w:r>
      <w:r>
        <w:rPr>
          <w:b/>
          <w:color w:val="FF6600"/>
          <w:spacing w:val="-11"/>
          <w:sz w:val="32"/>
        </w:rPr>
        <w:t> </w:t>
      </w:r>
      <w:r>
        <w:rPr>
          <w:b/>
          <w:color w:val="FF6600"/>
          <w:sz w:val="32"/>
        </w:rPr>
        <w:t>Health</w:t>
      </w:r>
      <w:r>
        <w:rPr>
          <w:b/>
          <w:color w:val="FF6600"/>
          <w:spacing w:val="-9"/>
          <w:sz w:val="32"/>
        </w:rPr>
        <w:t> </w:t>
      </w:r>
      <w:r>
        <w:rPr>
          <w:b/>
          <w:color w:val="FF6600"/>
          <w:spacing w:val="-4"/>
          <w:sz w:val="32"/>
        </w:rPr>
        <w:t>Care</w:t>
      </w:r>
    </w:p>
    <w:p>
      <w:pPr>
        <w:pStyle w:val="BodyText"/>
        <w:spacing w:before="144"/>
        <w:rPr>
          <w:b/>
          <w:sz w:val="32"/>
        </w:rPr>
      </w:pPr>
    </w:p>
    <w:p>
      <w:pPr>
        <w:pStyle w:val="Heading1"/>
        <w:spacing w:before="1"/>
      </w:pPr>
      <w:r>
        <w:rPr>
          <w:color w:val="008080"/>
        </w:rPr>
        <w:t>Summary</w:t>
      </w:r>
      <w:r>
        <w:rPr>
          <w:color w:val="008080"/>
          <w:spacing w:val="-8"/>
        </w:rPr>
        <w:t> </w:t>
      </w:r>
      <w:r>
        <w:rPr>
          <w:color w:val="008080"/>
          <w:spacing w:val="-2"/>
        </w:rPr>
        <w:t>Statement</w:t>
      </w:r>
    </w:p>
    <w:p>
      <w:pPr>
        <w:pStyle w:val="BodyText"/>
        <w:spacing w:before="271"/>
        <w:ind w:left="1418" w:right="657"/>
        <w:jc w:val="both"/>
      </w:pPr>
      <w:r>
        <w:rPr/>
        <w:t>Private health insurance is a critical component of the Australian health care system. With almost half of all Australians covered by a private health insurance policy, it is vital that consumers have the confidence that their policies are robust and will afford them access to critical treatments should the need arise.</w:t>
      </w:r>
    </w:p>
    <w:p>
      <w:pPr>
        <w:pStyle w:val="BodyText"/>
      </w:pPr>
    </w:p>
    <w:p>
      <w:pPr>
        <w:pStyle w:val="BodyText"/>
        <w:ind w:left="1418" w:right="654"/>
        <w:jc w:val="both"/>
      </w:pPr>
      <w:r>
        <w:rPr/>
        <w:t>However, many insurance packages lack adequate coverage for even basic needs, and yet consumers continue to pay high-and-rising premiums on these policies with misplaced confidence that they will be covered. And yet despite offering no promise of improved health care, premiums continue to rise on junk products that many consumers feel obliged to purchase in order to avoid punitive measures, such as the Medicare Levy Surcharge and Lifetime Health Cover.</w:t>
      </w:r>
    </w:p>
    <w:p>
      <w:pPr>
        <w:pStyle w:val="BodyText"/>
      </w:pPr>
    </w:p>
    <w:p>
      <w:pPr>
        <w:pStyle w:val="BodyText"/>
        <w:ind w:left="1418" w:right="659"/>
        <w:jc w:val="both"/>
      </w:pPr>
      <w:r>
        <w:rPr/>
        <w:t>Although the Rebate is in place to help consumers afford health insurance, it is unclear what effect this spending has effecting better health outcomes for consumers.</w:t>
      </w:r>
    </w:p>
    <w:p>
      <w:pPr>
        <w:pStyle w:val="BodyText"/>
      </w:pPr>
    </w:p>
    <w:p>
      <w:pPr>
        <w:pStyle w:val="BodyText"/>
        <w:spacing w:before="1"/>
        <w:ind w:left="1418" w:right="653"/>
        <w:jc w:val="both"/>
      </w:pPr>
      <w:r>
        <w:rPr/>
        <w:t>Evidence</w:t>
      </w:r>
      <w:r>
        <w:rPr>
          <w:spacing w:val="-4"/>
        </w:rPr>
        <w:t> </w:t>
      </w:r>
      <w:r>
        <w:rPr/>
        <w:t>has</w:t>
      </w:r>
      <w:r>
        <w:rPr>
          <w:spacing w:val="-3"/>
        </w:rPr>
        <w:t> </w:t>
      </w:r>
      <w:r>
        <w:rPr/>
        <w:t>mounted</w:t>
      </w:r>
      <w:r>
        <w:rPr>
          <w:spacing w:val="-3"/>
        </w:rPr>
        <w:t> </w:t>
      </w:r>
      <w:r>
        <w:rPr/>
        <w:t>in</w:t>
      </w:r>
      <w:r>
        <w:rPr>
          <w:spacing w:val="-1"/>
        </w:rPr>
        <w:t> </w:t>
      </w:r>
      <w:r>
        <w:rPr/>
        <w:t>recent years</w:t>
      </w:r>
      <w:r>
        <w:rPr>
          <w:spacing w:val="-3"/>
        </w:rPr>
        <w:t> </w:t>
      </w:r>
      <w:r>
        <w:rPr/>
        <w:t>that</w:t>
      </w:r>
      <w:r>
        <w:rPr>
          <w:spacing w:val="-3"/>
        </w:rPr>
        <w:t> </w:t>
      </w:r>
      <w:r>
        <w:rPr/>
        <w:t>private</w:t>
      </w:r>
      <w:r>
        <w:rPr>
          <w:spacing w:val="-2"/>
        </w:rPr>
        <w:t> </w:t>
      </w:r>
      <w:r>
        <w:rPr/>
        <w:t>health</w:t>
      </w:r>
      <w:r>
        <w:rPr>
          <w:spacing w:val="-3"/>
        </w:rPr>
        <w:t> </w:t>
      </w:r>
      <w:r>
        <w:rPr/>
        <w:t>insurance</w:t>
      </w:r>
      <w:r>
        <w:rPr>
          <w:spacing w:val="-4"/>
        </w:rPr>
        <w:t> </w:t>
      </w:r>
      <w:r>
        <w:rPr/>
        <w:t>has</w:t>
      </w:r>
      <w:r>
        <w:rPr>
          <w:spacing w:val="-3"/>
        </w:rPr>
        <w:t> </w:t>
      </w:r>
      <w:r>
        <w:rPr/>
        <w:t>failed</w:t>
      </w:r>
      <w:r>
        <w:rPr>
          <w:spacing w:val="-3"/>
        </w:rPr>
        <w:t> </w:t>
      </w:r>
      <w:r>
        <w:rPr/>
        <w:t>to</w:t>
      </w:r>
      <w:r>
        <w:rPr>
          <w:spacing w:val="-3"/>
        </w:rPr>
        <w:t> </w:t>
      </w:r>
      <w:r>
        <w:rPr/>
        <w:t>deliver</w:t>
      </w:r>
      <w:r>
        <w:rPr>
          <w:spacing w:val="-5"/>
        </w:rPr>
        <w:t> </w:t>
      </w:r>
      <w:r>
        <w:rPr/>
        <w:t>on</w:t>
      </w:r>
      <w:r>
        <w:rPr>
          <w:spacing w:val="-3"/>
        </w:rPr>
        <w:t> </w:t>
      </w:r>
      <w:r>
        <w:rPr/>
        <w:t>one of its fundamental goals: taking pressure of the public system to preserve the fundamentals of universal access. Instead, the Government now spends $6 billion per year to, in effect, subsidise a private industry </w:t>
      </w:r>
      <w:r>
        <w:rPr>
          <w:i/>
        </w:rPr>
        <w:t>at the expense </w:t>
      </w:r>
      <w:r>
        <w:rPr/>
        <w:t>of those funds being available in some form to shore up the public health system. This has had the effect of eroding the mixed public-private health care system in favour of private hospitals and insurers.</w:t>
      </w:r>
    </w:p>
    <w:p>
      <w:pPr>
        <w:pStyle w:val="BodyText"/>
      </w:pPr>
    </w:p>
    <w:p>
      <w:pPr>
        <w:pStyle w:val="BodyText"/>
        <w:ind w:left="1418" w:right="656"/>
        <w:jc w:val="both"/>
      </w:pPr>
      <w:r>
        <w:rPr/>
        <w:t>These forces have come together to place Australia is at risk of stratifying consumers into the “haves” and “have-nots” in health care. If left unchecked, this stratification would spell the end to the principles of universal access to health care that is the bedrock of the Australian health system.</w:t>
      </w:r>
    </w:p>
    <w:p>
      <w:pPr>
        <w:pStyle w:val="BodyText"/>
        <w:spacing w:before="125"/>
      </w:pPr>
    </w:p>
    <w:p>
      <w:pPr>
        <w:pStyle w:val="Heading1"/>
        <w:jc w:val="both"/>
      </w:pPr>
      <w:r>
        <w:rPr>
          <w:color w:val="008080"/>
        </w:rPr>
        <w:t>CHF</w:t>
      </w:r>
      <w:r>
        <w:rPr>
          <w:color w:val="008080"/>
          <w:spacing w:val="-5"/>
        </w:rPr>
        <w:t> </w:t>
      </w:r>
      <w:r>
        <w:rPr>
          <w:color w:val="008080"/>
          <w:spacing w:val="-2"/>
        </w:rPr>
        <w:t>Position</w:t>
      </w:r>
    </w:p>
    <w:p>
      <w:pPr>
        <w:pStyle w:val="BodyText"/>
        <w:spacing w:before="271"/>
        <w:ind w:left="1418" w:right="654"/>
        <w:jc w:val="both"/>
      </w:pPr>
      <w:r>
        <w:rPr/>
        <w:t>The Consumers Health Forum accepts that there is a role for private health insurance in the Australian health care system, but that it must deliver tangible value to consumers. At the</w:t>
      </w:r>
      <w:r>
        <w:rPr>
          <w:spacing w:val="80"/>
        </w:rPr>
        <w:t> </w:t>
      </w:r>
      <w:r>
        <w:rPr/>
        <w:t>very foundation of value for coverage, consumers require:</w:t>
      </w:r>
    </w:p>
    <w:p>
      <w:pPr>
        <w:pStyle w:val="BodyText"/>
        <w:spacing w:before="2"/>
      </w:pPr>
    </w:p>
    <w:p>
      <w:pPr>
        <w:pStyle w:val="ListParagraph"/>
        <w:numPr>
          <w:ilvl w:val="0"/>
          <w:numId w:val="1"/>
        </w:numPr>
        <w:tabs>
          <w:tab w:pos="2138" w:val="left" w:leader="none"/>
        </w:tabs>
        <w:spacing w:line="240" w:lineRule="auto" w:before="1" w:after="0"/>
        <w:ind w:left="2138" w:right="656" w:hanging="360"/>
        <w:jc w:val="left"/>
        <w:rPr>
          <w:sz w:val="24"/>
        </w:rPr>
      </w:pPr>
      <w:r>
        <w:rPr>
          <w:sz w:val="24"/>
        </w:rPr>
        <w:t>Easy</w:t>
      </w:r>
      <w:r>
        <w:rPr>
          <w:spacing w:val="36"/>
          <w:sz w:val="24"/>
        </w:rPr>
        <w:t> </w:t>
      </w:r>
      <w:r>
        <w:rPr>
          <w:sz w:val="24"/>
        </w:rPr>
        <w:t>to</w:t>
      </w:r>
      <w:r>
        <w:rPr>
          <w:spacing w:val="40"/>
          <w:sz w:val="24"/>
        </w:rPr>
        <w:t> </w:t>
      </w:r>
      <w:r>
        <w:rPr>
          <w:sz w:val="24"/>
        </w:rPr>
        <w:t>access</w:t>
      </w:r>
      <w:r>
        <w:rPr>
          <w:spacing w:val="40"/>
          <w:sz w:val="24"/>
        </w:rPr>
        <w:t> </w:t>
      </w:r>
      <w:r>
        <w:rPr>
          <w:sz w:val="24"/>
        </w:rPr>
        <w:t>and</w:t>
      </w:r>
      <w:r>
        <w:rPr>
          <w:spacing w:val="39"/>
          <w:sz w:val="24"/>
        </w:rPr>
        <w:t> </w:t>
      </w:r>
      <w:r>
        <w:rPr>
          <w:sz w:val="24"/>
        </w:rPr>
        <w:t>understand</w:t>
      </w:r>
      <w:r>
        <w:rPr>
          <w:spacing w:val="39"/>
          <w:sz w:val="24"/>
        </w:rPr>
        <w:t> </w:t>
      </w:r>
      <w:r>
        <w:rPr>
          <w:sz w:val="24"/>
        </w:rPr>
        <w:t>information</w:t>
      </w:r>
      <w:r>
        <w:rPr>
          <w:spacing w:val="40"/>
          <w:sz w:val="24"/>
        </w:rPr>
        <w:t> </w:t>
      </w:r>
      <w:r>
        <w:rPr>
          <w:sz w:val="24"/>
        </w:rPr>
        <w:t>about</w:t>
      </w:r>
      <w:r>
        <w:rPr>
          <w:spacing w:val="40"/>
          <w:sz w:val="24"/>
        </w:rPr>
        <w:t> </w:t>
      </w:r>
      <w:r>
        <w:rPr>
          <w:sz w:val="24"/>
        </w:rPr>
        <w:t>what</w:t>
      </w:r>
      <w:r>
        <w:rPr>
          <w:spacing w:val="40"/>
          <w:sz w:val="24"/>
        </w:rPr>
        <w:t> </w:t>
      </w:r>
      <w:r>
        <w:rPr>
          <w:sz w:val="24"/>
        </w:rPr>
        <w:t>their</w:t>
      </w:r>
      <w:r>
        <w:rPr>
          <w:spacing w:val="39"/>
          <w:sz w:val="24"/>
        </w:rPr>
        <w:t> </w:t>
      </w:r>
      <w:r>
        <w:rPr>
          <w:sz w:val="24"/>
        </w:rPr>
        <w:t>policy</w:t>
      </w:r>
      <w:r>
        <w:rPr>
          <w:spacing w:val="36"/>
          <w:sz w:val="24"/>
        </w:rPr>
        <w:t> </w:t>
      </w:r>
      <w:r>
        <w:rPr>
          <w:sz w:val="24"/>
        </w:rPr>
        <w:t>will</w:t>
      </w:r>
      <w:r>
        <w:rPr>
          <w:spacing w:val="40"/>
          <w:sz w:val="24"/>
        </w:rPr>
        <w:t> </w:t>
      </w:r>
      <w:r>
        <w:rPr>
          <w:sz w:val="24"/>
        </w:rPr>
        <w:t>and</w:t>
      </w:r>
      <w:r>
        <w:rPr>
          <w:spacing w:val="39"/>
          <w:sz w:val="24"/>
        </w:rPr>
        <w:t> </w:t>
      </w:r>
      <w:r>
        <w:rPr>
          <w:sz w:val="24"/>
        </w:rPr>
        <w:t>won’t cover, and the associated fees, and;</w:t>
      </w:r>
    </w:p>
    <w:p>
      <w:pPr>
        <w:spacing w:after="0" w:line="240" w:lineRule="auto"/>
        <w:jc w:val="left"/>
        <w:rPr>
          <w:sz w:val="24"/>
        </w:rPr>
        <w:sectPr>
          <w:footerReference w:type="default" r:id="rId5"/>
          <w:type w:val="continuous"/>
          <w:pgSz w:w="11910" w:h="16840"/>
          <w:pgMar w:header="0" w:footer="1458" w:top="440" w:bottom="1640" w:left="0" w:right="760"/>
          <w:pgNumType w:start="1"/>
        </w:sectPr>
      </w:pPr>
    </w:p>
    <w:p>
      <w:pPr>
        <w:pStyle w:val="BodyText"/>
        <w:spacing w:before="7"/>
      </w:pPr>
      <w:r>
        <w:rPr/>
        <w:drawing>
          <wp:anchor distT="0" distB="0" distL="0" distR="0" allowOverlap="1" layoutInCell="1" locked="0" behindDoc="0" simplePos="0" relativeHeight="15729152">
            <wp:simplePos x="0" y="0"/>
            <wp:positionH relativeFrom="page">
              <wp:posOffset>5716523</wp:posOffset>
            </wp:positionH>
            <wp:positionV relativeFrom="page">
              <wp:posOffset>477011</wp:posOffset>
            </wp:positionV>
            <wp:extent cx="1206246" cy="1648942"/>
            <wp:effectExtent l="0" t="0" r="0" b="0"/>
            <wp:wrapNone/>
            <wp:docPr id="6" name="Image 6" descr="CHF_logoRGB"/>
            <wp:cNvGraphicFramePr>
              <a:graphicFrameLocks/>
            </wp:cNvGraphicFramePr>
            <a:graphic>
              <a:graphicData uri="http://schemas.openxmlformats.org/drawingml/2006/picture">
                <pic:pic>
                  <pic:nvPicPr>
                    <pic:cNvPr id="6" name="Image 6" descr="CHF_logoRGB"/>
                    <pic:cNvPicPr/>
                  </pic:nvPicPr>
                  <pic:blipFill>
                    <a:blip r:embed="rId7" cstate="print"/>
                    <a:stretch>
                      <a:fillRect/>
                    </a:stretch>
                  </pic:blipFill>
                  <pic:spPr>
                    <a:xfrm>
                      <a:off x="0" y="0"/>
                      <a:ext cx="1206246" cy="1648942"/>
                    </a:xfrm>
                    <a:prstGeom prst="rect">
                      <a:avLst/>
                    </a:prstGeom>
                  </pic:spPr>
                </pic:pic>
              </a:graphicData>
            </a:graphic>
          </wp:anchor>
        </w:drawing>
      </w:r>
    </w:p>
    <w:p>
      <w:pPr>
        <w:pStyle w:val="ListParagraph"/>
        <w:numPr>
          <w:ilvl w:val="0"/>
          <w:numId w:val="1"/>
        </w:numPr>
        <w:tabs>
          <w:tab w:pos="2138" w:val="left" w:leader="none"/>
        </w:tabs>
        <w:spacing w:line="237" w:lineRule="auto" w:before="0" w:after="0"/>
        <w:ind w:left="2138" w:right="2501" w:hanging="360"/>
        <w:jc w:val="left"/>
        <w:rPr>
          <w:sz w:val="24"/>
        </w:rPr>
      </w:pPr>
      <w:r>
        <w:rPr>
          <w:sz w:val="24"/>
        </w:rPr>
        <w:t>Clear communications about changes their policies, and what these practically mean for them.</w:t>
      </w:r>
    </w:p>
    <w:p>
      <w:pPr>
        <w:pStyle w:val="BodyText"/>
      </w:pPr>
    </w:p>
    <w:p>
      <w:pPr>
        <w:pStyle w:val="BodyText"/>
        <w:ind w:left="1418" w:right="2497"/>
        <w:jc w:val="both"/>
      </w:pPr>
      <w:r>
        <w:rPr/>
        <w:t>A system that is too difficult for consumers to navigate in order to make a decision about the value of their policies is not a system worth the government’s support. There are tens of thousands of possible health insurance packages for consumers to choose from, and there are very few tools available to consumers to help them navigate this complicated</w:t>
      </w:r>
      <w:r>
        <w:rPr>
          <w:spacing w:val="40"/>
        </w:rPr>
        <w:t> </w:t>
      </w:r>
      <w:r>
        <w:rPr>
          <w:spacing w:val="-2"/>
        </w:rPr>
        <w:t>market.</w:t>
      </w:r>
    </w:p>
    <w:p>
      <w:pPr>
        <w:pStyle w:val="BodyText"/>
      </w:pPr>
    </w:p>
    <w:p>
      <w:pPr>
        <w:pStyle w:val="BodyText"/>
        <w:ind w:left="1418" w:right="658"/>
        <w:jc w:val="both"/>
      </w:pPr>
      <w:r>
        <w:rPr/>
        <w:t>The Australian Competition and Consumer Commission (ACCC) has, through its Senate mandate, repeatedly reported about the information imbalance that exists between health</w:t>
      </w:r>
      <w:r>
        <w:rPr>
          <w:spacing w:val="40"/>
        </w:rPr>
        <w:t> </w:t>
      </w:r>
      <w:r>
        <w:rPr/>
        <w:t>funds and consumers.</w:t>
      </w:r>
    </w:p>
    <w:p>
      <w:pPr>
        <w:pStyle w:val="BodyText"/>
        <w:spacing w:before="8"/>
      </w:pPr>
    </w:p>
    <w:p>
      <w:pPr>
        <w:spacing w:line="237" w:lineRule="auto" w:before="0"/>
        <w:ind w:left="1418" w:right="653" w:firstLine="0"/>
        <w:jc w:val="both"/>
        <w:rPr>
          <w:sz w:val="24"/>
        </w:rPr>
      </w:pPr>
      <w:r>
        <w:rPr>
          <w:b/>
          <w:sz w:val="24"/>
        </w:rPr>
        <w:t>CHF calls on the government to mandate health funds make readily available, and in plain language, the costs and coverage of all their insurance packages. </w:t>
      </w:r>
      <w:r>
        <w:rPr>
          <w:sz w:val="24"/>
        </w:rPr>
        <w:t>CHF recognises that many</w:t>
      </w:r>
      <w:r>
        <w:rPr>
          <w:spacing w:val="-3"/>
          <w:sz w:val="24"/>
        </w:rPr>
        <w:t> </w:t>
      </w:r>
      <w:r>
        <w:rPr>
          <w:sz w:val="24"/>
        </w:rPr>
        <w:t>health funds</w:t>
      </w:r>
      <w:r>
        <w:rPr>
          <w:spacing w:val="-1"/>
          <w:sz w:val="24"/>
        </w:rPr>
        <w:t> </w:t>
      </w:r>
      <w:r>
        <w:rPr>
          <w:sz w:val="24"/>
        </w:rPr>
        <w:t>do this voluntarily; but as consumers</w:t>
      </w:r>
      <w:r>
        <w:rPr>
          <w:spacing w:val="-1"/>
          <w:sz w:val="24"/>
        </w:rPr>
        <w:t> </w:t>
      </w:r>
      <w:r>
        <w:rPr>
          <w:sz w:val="24"/>
        </w:rPr>
        <w:t>are entitled to this information, it ought to be mandated so that no health fund may avoid their responsibility to consumers.</w:t>
      </w:r>
    </w:p>
    <w:p>
      <w:pPr>
        <w:pStyle w:val="BodyText"/>
        <w:spacing w:before="4"/>
      </w:pPr>
    </w:p>
    <w:p>
      <w:pPr>
        <w:spacing w:before="0"/>
        <w:ind w:left="1418" w:right="655" w:firstLine="0"/>
        <w:jc w:val="both"/>
        <w:rPr>
          <w:sz w:val="24"/>
        </w:rPr>
      </w:pPr>
      <w:r>
        <w:rPr>
          <w:sz w:val="24"/>
        </w:rPr>
        <w:t>Another major reform CHF calls for in this space is </w:t>
      </w:r>
      <w:r>
        <w:rPr>
          <w:b/>
          <w:sz w:val="24"/>
        </w:rPr>
        <w:t>for the development of a basic, nationally standardised health insurance package</w:t>
      </w:r>
      <w:r>
        <w:rPr>
          <w:sz w:val="24"/>
        </w:rPr>
        <w:t>. This package should be defined in legislation, and should be a required policy of every private health insurer. CHF holds that such a package should be the basis for the Rebate, with other policies that do not meet its minimum criteria being ineligible.</w:t>
      </w:r>
    </w:p>
    <w:p>
      <w:pPr>
        <w:pStyle w:val="BodyText"/>
      </w:pPr>
    </w:p>
    <w:p>
      <w:pPr>
        <w:spacing w:line="240" w:lineRule="auto" w:before="0"/>
        <w:ind w:left="1418" w:right="650" w:firstLine="0"/>
        <w:jc w:val="both"/>
        <w:rPr>
          <w:b/>
          <w:sz w:val="24"/>
        </w:rPr>
      </w:pPr>
      <w:r>
        <w:rPr>
          <w:sz w:val="24"/>
        </w:rPr>
        <w:t>In tandem with these reforms, CHF remains very concerned about the lack of transparency about health funds’ gap fee coverage, as participation in “no gap” plans are largely at the discretion of GPs and specialists and the individual fees they set. Consumers may be led to assume that their insurance covers these fees when undergoing a procedure, only to face high out of pocket costs thereafter. </w:t>
      </w:r>
      <w:r>
        <w:rPr>
          <w:b/>
          <w:sz w:val="24"/>
        </w:rPr>
        <w:t>CHF calls for a mandated informed financial consent process to ensure consumers are clear about costs they may incur in both the public and private system.</w:t>
      </w:r>
    </w:p>
    <w:p>
      <w:pPr>
        <w:pStyle w:val="BodyText"/>
        <w:spacing w:before="1"/>
        <w:rPr>
          <w:b/>
        </w:rPr>
      </w:pPr>
    </w:p>
    <w:p>
      <w:pPr>
        <w:spacing w:line="240" w:lineRule="auto" w:before="0"/>
        <w:ind w:left="1418" w:right="652" w:firstLine="0"/>
        <w:jc w:val="both"/>
        <w:rPr>
          <w:b/>
          <w:sz w:val="24"/>
        </w:rPr>
      </w:pPr>
      <w:r>
        <w:rPr>
          <w:sz w:val="24"/>
        </w:rPr>
        <w:t>On the affordability of health insurance overall, </w:t>
      </w:r>
      <w:r>
        <w:rPr>
          <w:b/>
          <w:sz w:val="24"/>
        </w:rPr>
        <w:t>CHF does not believe that the Rebate should be abolished</w:t>
      </w:r>
      <w:r>
        <w:rPr>
          <w:sz w:val="24"/>
        </w:rPr>
        <w:t>. However, the Rebate has had questionable value to the success of keeping</w:t>
      </w:r>
      <w:r>
        <w:rPr>
          <w:spacing w:val="-6"/>
          <w:sz w:val="24"/>
        </w:rPr>
        <w:t> </w:t>
      </w:r>
      <w:r>
        <w:rPr>
          <w:sz w:val="24"/>
        </w:rPr>
        <w:t>private</w:t>
      </w:r>
      <w:r>
        <w:rPr>
          <w:spacing w:val="-3"/>
          <w:sz w:val="24"/>
        </w:rPr>
        <w:t> </w:t>
      </w:r>
      <w:r>
        <w:rPr>
          <w:sz w:val="24"/>
        </w:rPr>
        <w:t>health</w:t>
      </w:r>
      <w:r>
        <w:rPr>
          <w:spacing w:val="-3"/>
          <w:sz w:val="24"/>
        </w:rPr>
        <w:t> </w:t>
      </w:r>
      <w:r>
        <w:rPr>
          <w:sz w:val="24"/>
        </w:rPr>
        <w:t>insurance</w:t>
      </w:r>
      <w:r>
        <w:rPr>
          <w:spacing w:val="-2"/>
          <w:sz w:val="24"/>
        </w:rPr>
        <w:t> </w:t>
      </w:r>
      <w:r>
        <w:rPr>
          <w:sz w:val="24"/>
        </w:rPr>
        <w:t>affordable</w:t>
      </w:r>
      <w:r>
        <w:rPr>
          <w:spacing w:val="-2"/>
          <w:sz w:val="24"/>
        </w:rPr>
        <w:t> </w:t>
      </w:r>
      <w:r>
        <w:rPr>
          <w:sz w:val="24"/>
        </w:rPr>
        <w:t>and</w:t>
      </w:r>
      <w:r>
        <w:rPr>
          <w:spacing w:val="-3"/>
          <w:sz w:val="24"/>
        </w:rPr>
        <w:t> </w:t>
      </w:r>
      <w:r>
        <w:rPr>
          <w:sz w:val="24"/>
        </w:rPr>
        <w:t>reducing</w:t>
      </w:r>
      <w:r>
        <w:rPr>
          <w:spacing w:val="-5"/>
          <w:sz w:val="24"/>
        </w:rPr>
        <w:t> </w:t>
      </w:r>
      <w:r>
        <w:rPr>
          <w:sz w:val="24"/>
        </w:rPr>
        <w:t>pressure</w:t>
      </w:r>
      <w:r>
        <w:rPr>
          <w:spacing w:val="-3"/>
          <w:sz w:val="24"/>
        </w:rPr>
        <w:t> </w:t>
      </w:r>
      <w:r>
        <w:rPr>
          <w:sz w:val="24"/>
        </w:rPr>
        <w:t>on</w:t>
      </w:r>
      <w:r>
        <w:rPr>
          <w:spacing w:val="-3"/>
          <w:sz w:val="24"/>
        </w:rPr>
        <w:t> </w:t>
      </w:r>
      <w:r>
        <w:rPr>
          <w:sz w:val="24"/>
        </w:rPr>
        <w:t>the</w:t>
      </w:r>
      <w:r>
        <w:rPr>
          <w:spacing w:val="-3"/>
          <w:sz w:val="24"/>
        </w:rPr>
        <w:t> </w:t>
      </w:r>
      <w:r>
        <w:rPr>
          <w:sz w:val="24"/>
        </w:rPr>
        <w:t>public</w:t>
      </w:r>
      <w:r>
        <w:rPr>
          <w:spacing w:val="-4"/>
          <w:sz w:val="24"/>
        </w:rPr>
        <w:t> </w:t>
      </w:r>
      <w:r>
        <w:rPr>
          <w:sz w:val="24"/>
        </w:rPr>
        <w:t>health</w:t>
      </w:r>
      <w:r>
        <w:rPr>
          <w:spacing w:val="-3"/>
          <w:sz w:val="24"/>
        </w:rPr>
        <w:t> </w:t>
      </w:r>
      <w:r>
        <w:rPr>
          <w:sz w:val="24"/>
        </w:rPr>
        <w:t>system. As such, </w:t>
      </w:r>
      <w:r>
        <w:rPr>
          <w:b/>
          <w:sz w:val="24"/>
        </w:rPr>
        <w:t>CHF believes the government ought to restrict and better target Rebate eligibility to certain, proven policies, and reinvest savings into the public health system.</w:t>
      </w:r>
    </w:p>
    <w:p>
      <w:pPr>
        <w:pStyle w:val="BodyText"/>
        <w:rPr>
          <w:b/>
        </w:rPr>
      </w:pPr>
    </w:p>
    <w:p>
      <w:pPr>
        <w:spacing w:line="240" w:lineRule="auto" w:before="0"/>
        <w:ind w:left="1418" w:right="652" w:firstLine="0"/>
        <w:jc w:val="both"/>
        <w:rPr>
          <w:sz w:val="24"/>
        </w:rPr>
      </w:pPr>
      <w:r>
        <w:rPr>
          <w:sz w:val="24"/>
        </w:rPr>
        <w:t>Additionally, </w:t>
      </w:r>
      <w:r>
        <w:rPr>
          <w:b/>
          <w:sz w:val="24"/>
        </w:rPr>
        <w:t>the Rebate should not be eligible for policies that cover non-evidence-based or outdated procedures. </w:t>
      </w:r>
      <w:r>
        <w:rPr>
          <w:sz w:val="24"/>
        </w:rPr>
        <w:t>Australia’s taxpayers should not be expected to float coverage for policies that allow procedures neither supported by evidence nor widely used by medical practitioners due to advances in care delivery. Again, savings realised from terminating subsidies for these policies ought to be reinvested in the public system.</w:t>
      </w:r>
    </w:p>
    <w:p>
      <w:pPr>
        <w:spacing w:after="0" w:line="240" w:lineRule="auto"/>
        <w:jc w:val="both"/>
        <w:rPr>
          <w:sz w:val="24"/>
        </w:rPr>
        <w:sectPr>
          <w:headerReference w:type="default" r:id="rId8"/>
          <w:footerReference w:type="default" r:id="rId9"/>
          <w:pgSz w:w="11910" w:h="16840"/>
          <w:pgMar w:header="1407" w:footer="1458" w:top="1720" w:bottom="1640" w:left="0" w:right="760"/>
        </w:sectPr>
      </w:pPr>
    </w:p>
    <w:p>
      <w:pPr>
        <w:pStyle w:val="BodyText"/>
        <w:spacing w:before="7"/>
      </w:pPr>
      <w:r>
        <w:rPr/>
        <w:drawing>
          <wp:anchor distT="0" distB="0" distL="0" distR="0" allowOverlap="1" layoutInCell="1" locked="0" behindDoc="0" simplePos="0" relativeHeight="15729664">
            <wp:simplePos x="0" y="0"/>
            <wp:positionH relativeFrom="page">
              <wp:posOffset>5716523</wp:posOffset>
            </wp:positionH>
            <wp:positionV relativeFrom="page">
              <wp:posOffset>477011</wp:posOffset>
            </wp:positionV>
            <wp:extent cx="1206246" cy="1648942"/>
            <wp:effectExtent l="0" t="0" r="0" b="0"/>
            <wp:wrapNone/>
            <wp:docPr id="7" name="Image 7" descr="CHF_logoRGB"/>
            <wp:cNvGraphicFramePr>
              <a:graphicFrameLocks/>
            </wp:cNvGraphicFramePr>
            <a:graphic>
              <a:graphicData uri="http://schemas.openxmlformats.org/drawingml/2006/picture">
                <pic:pic>
                  <pic:nvPicPr>
                    <pic:cNvPr id="7" name="Image 7" descr="CHF_logoRGB"/>
                    <pic:cNvPicPr/>
                  </pic:nvPicPr>
                  <pic:blipFill>
                    <a:blip r:embed="rId7" cstate="print"/>
                    <a:stretch>
                      <a:fillRect/>
                    </a:stretch>
                  </pic:blipFill>
                  <pic:spPr>
                    <a:xfrm>
                      <a:off x="0" y="0"/>
                      <a:ext cx="1206246" cy="1648942"/>
                    </a:xfrm>
                    <a:prstGeom prst="rect">
                      <a:avLst/>
                    </a:prstGeom>
                  </pic:spPr>
                </pic:pic>
              </a:graphicData>
            </a:graphic>
          </wp:anchor>
        </w:drawing>
      </w:r>
    </w:p>
    <w:p>
      <w:pPr>
        <w:spacing w:line="240" w:lineRule="auto" w:before="0"/>
        <w:ind w:left="1418" w:right="2497" w:firstLine="0"/>
        <w:jc w:val="both"/>
        <w:rPr>
          <w:sz w:val="24"/>
        </w:rPr>
      </w:pPr>
      <w:r>
        <w:rPr>
          <w:b/>
          <w:sz w:val="24"/>
        </w:rPr>
        <w:t>CHF opposes any move from the current community rating system to a risk rated system, as this would increase premiums for people with complex and chronic needs. </w:t>
      </w:r>
      <w:r>
        <w:rPr>
          <w:sz w:val="24"/>
        </w:rPr>
        <w:t>Although we believe that the current rating system was designed primarily as a “stick” measure to push younger Australians into purchasing health insurance, revising it to target chronic conditions based on risk would be overly punitive for many Australians.</w:t>
      </w:r>
    </w:p>
    <w:p>
      <w:pPr>
        <w:spacing w:before="272"/>
        <w:ind w:left="1418" w:right="656" w:firstLine="0"/>
        <w:jc w:val="both"/>
        <w:rPr>
          <w:sz w:val="24"/>
        </w:rPr>
      </w:pPr>
      <w:r>
        <w:rPr>
          <w:sz w:val="24"/>
        </w:rPr>
        <w:t>Furthermore,</w:t>
      </w:r>
      <w:r>
        <w:rPr>
          <w:spacing w:val="-1"/>
          <w:sz w:val="24"/>
        </w:rPr>
        <w:t> </w:t>
      </w:r>
      <w:r>
        <w:rPr>
          <w:b/>
          <w:sz w:val="24"/>
        </w:rPr>
        <w:t>CHF</w:t>
      </w:r>
      <w:r>
        <w:rPr>
          <w:b/>
          <w:spacing w:val="-4"/>
          <w:sz w:val="24"/>
        </w:rPr>
        <w:t> </w:t>
      </w:r>
      <w:r>
        <w:rPr>
          <w:b/>
          <w:sz w:val="24"/>
        </w:rPr>
        <w:t>opposes</w:t>
      </w:r>
      <w:r>
        <w:rPr>
          <w:b/>
          <w:spacing w:val="-1"/>
          <w:sz w:val="24"/>
        </w:rPr>
        <w:t> </w:t>
      </w:r>
      <w:r>
        <w:rPr>
          <w:b/>
          <w:sz w:val="24"/>
        </w:rPr>
        <w:t>any</w:t>
      </w:r>
      <w:r>
        <w:rPr>
          <w:b/>
          <w:spacing w:val="-1"/>
          <w:sz w:val="24"/>
        </w:rPr>
        <w:t> </w:t>
      </w:r>
      <w:r>
        <w:rPr>
          <w:b/>
          <w:sz w:val="24"/>
        </w:rPr>
        <w:t>effort</w:t>
      </w:r>
      <w:r>
        <w:rPr>
          <w:b/>
          <w:spacing w:val="-2"/>
          <w:sz w:val="24"/>
        </w:rPr>
        <w:t> </w:t>
      </w:r>
      <w:r>
        <w:rPr>
          <w:b/>
          <w:sz w:val="24"/>
        </w:rPr>
        <w:t>to</w:t>
      </w:r>
      <w:r>
        <w:rPr>
          <w:b/>
          <w:spacing w:val="-2"/>
          <w:sz w:val="24"/>
        </w:rPr>
        <w:t> </w:t>
      </w:r>
      <w:r>
        <w:rPr>
          <w:b/>
          <w:sz w:val="24"/>
        </w:rPr>
        <w:t>expanding</w:t>
      </w:r>
      <w:r>
        <w:rPr>
          <w:b/>
          <w:spacing w:val="-1"/>
          <w:sz w:val="24"/>
        </w:rPr>
        <w:t> </w:t>
      </w:r>
      <w:r>
        <w:rPr>
          <w:b/>
          <w:sz w:val="24"/>
        </w:rPr>
        <w:t>the</w:t>
      </w:r>
      <w:r>
        <w:rPr>
          <w:b/>
          <w:spacing w:val="-2"/>
          <w:sz w:val="24"/>
        </w:rPr>
        <w:t> </w:t>
      </w:r>
      <w:r>
        <w:rPr>
          <w:b/>
          <w:sz w:val="24"/>
        </w:rPr>
        <w:t>role</w:t>
      </w:r>
      <w:r>
        <w:rPr>
          <w:b/>
          <w:spacing w:val="-2"/>
          <w:sz w:val="24"/>
        </w:rPr>
        <w:t> </w:t>
      </w:r>
      <w:r>
        <w:rPr>
          <w:b/>
          <w:sz w:val="24"/>
        </w:rPr>
        <w:t>of private</w:t>
      </w:r>
      <w:r>
        <w:rPr>
          <w:b/>
          <w:spacing w:val="-3"/>
          <w:sz w:val="24"/>
        </w:rPr>
        <w:t> </w:t>
      </w:r>
      <w:r>
        <w:rPr>
          <w:b/>
          <w:sz w:val="24"/>
        </w:rPr>
        <w:t>health</w:t>
      </w:r>
      <w:r>
        <w:rPr>
          <w:b/>
          <w:spacing w:val="-1"/>
          <w:sz w:val="24"/>
        </w:rPr>
        <w:t> </w:t>
      </w:r>
      <w:r>
        <w:rPr>
          <w:b/>
          <w:sz w:val="24"/>
        </w:rPr>
        <w:t>insurance</w:t>
      </w:r>
      <w:r>
        <w:rPr>
          <w:b/>
          <w:spacing w:val="-2"/>
          <w:sz w:val="24"/>
        </w:rPr>
        <w:t> </w:t>
      </w:r>
      <w:r>
        <w:rPr>
          <w:b/>
          <w:sz w:val="24"/>
        </w:rPr>
        <w:t>to cover GP or primary care services</w:t>
      </w:r>
      <w:r>
        <w:rPr>
          <w:sz w:val="24"/>
        </w:rPr>
        <w:t>. Although CHF supports health funds in promoting healthy</w:t>
      </w:r>
      <w:r>
        <w:rPr>
          <w:spacing w:val="-8"/>
          <w:sz w:val="24"/>
        </w:rPr>
        <w:t> </w:t>
      </w:r>
      <w:r>
        <w:rPr>
          <w:sz w:val="24"/>
        </w:rPr>
        <w:t>lifestyle</w:t>
      </w:r>
      <w:r>
        <w:rPr>
          <w:spacing w:val="-4"/>
          <w:sz w:val="24"/>
        </w:rPr>
        <w:t> </w:t>
      </w:r>
      <w:r>
        <w:rPr>
          <w:sz w:val="24"/>
        </w:rPr>
        <w:t>programs</w:t>
      </w:r>
      <w:r>
        <w:rPr>
          <w:spacing w:val="-3"/>
          <w:sz w:val="24"/>
        </w:rPr>
        <w:t> </w:t>
      </w:r>
      <w:r>
        <w:rPr>
          <w:sz w:val="24"/>
        </w:rPr>
        <w:t>and</w:t>
      </w:r>
      <w:r>
        <w:rPr>
          <w:spacing w:val="-3"/>
          <w:sz w:val="24"/>
        </w:rPr>
        <w:t> </w:t>
      </w:r>
      <w:r>
        <w:rPr>
          <w:sz w:val="24"/>
        </w:rPr>
        <w:t>rewarding</w:t>
      </w:r>
      <w:r>
        <w:rPr>
          <w:spacing w:val="-6"/>
          <w:sz w:val="24"/>
        </w:rPr>
        <w:t> </w:t>
      </w:r>
      <w:r>
        <w:rPr>
          <w:sz w:val="24"/>
        </w:rPr>
        <w:t>fund</w:t>
      </w:r>
      <w:r>
        <w:rPr>
          <w:spacing w:val="-3"/>
          <w:sz w:val="24"/>
        </w:rPr>
        <w:t> </w:t>
      </w:r>
      <w:r>
        <w:rPr>
          <w:sz w:val="24"/>
        </w:rPr>
        <w:t>holders</w:t>
      </w:r>
      <w:r>
        <w:rPr>
          <w:spacing w:val="-3"/>
          <w:sz w:val="24"/>
        </w:rPr>
        <w:t> </w:t>
      </w:r>
      <w:r>
        <w:rPr>
          <w:sz w:val="24"/>
        </w:rPr>
        <w:t>who</w:t>
      </w:r>
      <w:r>
        <w:rPr>
          <w:spacing w:val="-3"/>
          <w:sz w:val="24"/>
        </w:rPr>
        <w:t> </w:t>
      </w:r>
      <w:r>
        <w:rPr>
          <w:sz w:val="24"/>
        </w:rPr>
        <w:t>maintain</w:t>
      </w:r>
      <w:r>
        <w:rPr>
          <w:spacing w:val="-1"/>
          <w:sz w:val="24"/>
        </w:rPr>
        <w:t> </w:t>
      </w:r>
      <w:r>
        <w:rPr>
          <w:sz w:val="24"/>
        </w:rPr>
        <w:t>good</w:t>
      </w:r>
      <w:r>
        <w:rPr>
          <w:spacing w:val="-1"/>
          <w:sz w:val="24"/>
        </w:rPr>
        <w:t> </w:t>
      </w:r>
      <w:r>
        <w:rPr>
          <w:sz w:val="24"/>
        </w:rPr>
        <w:t>health,</w:t>
      </w:r>
      <w:r>
        <w:rPr>
          <w:spacing w:val="-3"/>
          <w:sz w:val="24"/>
        </w:rPr>
        <w:t> </w:t>
      </w:r>
      <w:r>
        <w:rPr>
          <w:sz w:val="24"/>
        </w:rPr>
        <w:t>there</w:t>
      </w:r>
      <w:r>
        <w:rPr>
          <w:spacing w:val="-4"/>
          <w:sz w:val="24"/>
        </w:rPr>
        <w:t> </w:t>
      </w:r>
      <w:r>
        <w:rPr>
          <w:sz w:val="24"/>
        </w:rPr>
        <w:t>should be no perverse business incentive for health funds or GPs to stratify Australians’ access to good primary care based on their coverage.</w:t>
      </w:r>
    </w:p>
    <w:p>
      <w:pPr>
        <w:pStyle w:val="BodyText"/>
      </w:pPr>
    </w:p>
    <w:p>
      <w:pPr>
        <w:pStyle w:val="BodyText"/>
        <w:spacing w:before="1"/>
        <w:ind w:left="1418" w:right="657"/>
        <w:jc w:val="both"/>
      </w:pPr>
      <w:r>
        <w:rPr/>
        <w:t>Regarding the overall private health insurance market, CHF is very strongly concerned that there is, as yet, no way</w:t>
      </w:r>
      <w:r>
        <w:rPr>
          <w:spacing w:val="-3"/>
        </w:rPr>
        <w:t> </w:t>
      </w:r>
      <w:r>
        <w:rPr/>
        <w:t>of measuring whether private health insurance is delivering “value” to either consumers or the health system. Given the price of premiums to Australia’s households and the cost to government to subsidise the market – which is, in many ways, another cost to Australians – it is inexcusable to have no way to measure whether private health insurance, at large or individual policies, are providing real value against what they promise.</w:t>
      </w:r>
    </w:p>
    <w:p>
      <w:pPr>
        <w:pStyle w:val="BodyText"/>
      </w:pPr>
    </w:p>
    <w:p>
      <w:pPr>
        <w:pStyle w:val="BodyText"/>
        <w:ind w:left="1418" w:right="656"/>
        <w:jc w:val="both"/>
      </w:pPr>
      <w:r>
        <w:rPr/>
        <w:t>Previously, the performance of health insurance funds was subject to review by the independent Private Health Insurance Administration Council (PHIAC). Despite a review by the Australian National Audit Office that PHIAC was competent in its functions, from 1 July 2015, PHIAC ceased to be an independent entity.</w:t>
      </w:r>
    </w:p>
    <w:p>
      <w:pPr>
        <w:pStyle w:val="BodyText"/>
        <w:spacing w:before="4"/>
      </w:pPr>
    </w:p>
    <w:p>
      <w:pPr>
        <w:spacing w:line="237" w:lineRule="auto" w:before="0"/>
        <w:ind w:left="1418" w:right="656" w:firstLine="0"/>
        <w:jc w:val="both"/>
        <w:rPr>
          <w:sz w:val="24"/>
        </w:rPr>
      </w:pPr>
      <w:r>
        <w:rPr>
          <w:b/>
          <w:sz w:val="24"/>
        </w:rPr>
        <w:t>CHF calls on the government to reinstate PHIAC as an independent entity, and to expand its mandate to track the performance of health funds against legislated</w:t>
      </w:r>
      <w:r>
        <w:rPr>
          <w:b/>
          <w:spacing w:val="40"/>
          <w:sz w:val="24"/>
        </w:rPr>
        <w:t> </w:t>
      </w:r>
      <w:r>
        <w:rPr>
          <w:b/>
          <w:sz w:val="24"/>
        </w:rPr>
        <w:t>standards and values of private health insurance</w:t>
      </w:r>
      <w:r>
        <w:rPr>
          <w:sz w:val="24"/>
        </w:rPr>
        <w:t>. These should define:</w:t>
      </w:r>
    </w:p>
    <w:p>
      <w:pPr>
        <w:pStyle w:val="BodyText"/>
        <w:spacing w:before="4"/>
      </w:pPr>
    </w:p>
    <w:p>
      <w:pPr>
        <w:pStyle w:val="ListParagraph"/>
        <w:numPr>
          <w:ilvl w:val="0"/>
          <w:numId w:val="1"/>
        </w:numPr>
        <w:tabs>
          <w:tab w:pos="2138" w:val="left" w:leader="none"/>
        </w:tabs>
        <w:spacing w:line="240" w:lineRule="auto" w:before="0" w:after="0"/>
        <w:ind w:left="2138" w:right="658" w:hanging="360"/>
        <w:jc w:val="left"/>
        <w:rPr>
          <w:sz w:val="24"/>
        </w:rPr>
      </w:pPr>
      <w:r>
        <w:rPr>
          <w:sz w:val="24"/>
        </w:rPr>
        <w:t>The</w:t>
      </w:r>
      <w:r>
        <w:rPr>
          <w:spacing w:val="80"/>
          <w:sz w:val="24"/>
        </w:rPr>
        <w:t> </w:t>
      </w:r>
      <w:r>
        <w:rPr>
          <w:sz w:val="24"/>
        </w:rPr>
        <w:t>justification</w:t>
      </w:r>
      <w:r>
        <w:rPr>
          <w:spacing w:val="80"/>
          <w:sz w:val="24"/>
        </w:rPr>
        <w:t> </w:t>
      </w:r>
      <w:r>
        <w:rPr>
          <w:sz w:val="24"/>
        </w:rPr>
        <w:t>for</w:t>
      </w:r>
      <w:r>
        <w:rPr>
          <w:spacing w:val="80"/>
          <w:sz w:val="24"/>
        </w:rPr>
        <w:t> </w:t>
      </w:r>
      <w:r>
        <w:rPr>
          <w:sz w:val="24"/>
        </w:rPr>
        <w:t>government</w:t>
      </w:r>
      <w:r>
        <w:rPr>
          <w:spacing w:val="80"/>
          <w:sz w:val="24"/>
        </w:rPr>
        <w:t> </w:t>
      </w:r>
      <w:r>
        <w:rPr>
          <w:sz w:val="24"/>
        </w:rPr>
        <w:t>assistance</w:t>
      </w:r>
      <w:r>
        <w:rPr>
          <w:spacing w:val="80"/>
          <w:sz w:val="24"/>
        </w:rPr>
        <w:t> </w:t>
      </w:r>
      <w:r>
        <w:rPr>
          <w:sz w:val="24"/>
        </w:rPr>
        <w:t>to</w:t>
      </w:r>
      <w:r>
        <w:rPr>
          <w:spacing w:val="80"/>
          <w:sz w:val="24"/>
        </w:rPr>
        <w:t> </w:t>
      </w:r>
      <w:r>
        <w:rPr>
          <w:sz w:val="24"/>
        </w:rPr>
        <w:t>the</w:t>
      </w:r>
      <w:r>
        <w:rPr>
          <w:spacing w:val="80"/>
          <w:sz w:val="24"/>
        </w:rPr>
        <w:t> </w:t>
      </w:r>
      <w:r>
        <w:rPr>
          <w:sz w:val="24"/>
        </w:rPr>
        <w:t>industry,</w:t>
      </w:r>
      <w:r>
        <w:rPr>
          <w:spacing w:val="80"/>
          <w:sz w:val="24"/>
        </w:rPr>
        <w:t> </w:t>
      </w:r>
      <w:r>
        <w:rPr>
          <w:sz w:val="24"/>
        </w:rPr>
        <w:t>and</w:t>
      </w:r>
      <w:r>
        <w:rPr>
          <w:spacing w:val="80"/>
          <w:sz w:val="24"/>
        </w:rPr>
        <w:t> </w:t>
      </w:r>
      <w:r>
        <w:rPr>
          <w:sz w:val="24"/>
        </w:rPr>
        <w:t>the</w:t>
      </w:r>
      <w:r>
        <w:rPr>
          <w:spacing w:val="80"/>
          <w:sz w:val="24"/>
        </w:rPr>
        <w:t> </w:t>
      </w:r>
      <w:r>
        <w:rPr>
          <w:sz w:val="24"/>
        </w:rPr>
        <w:t>industry’s performance against the government’s interests</w:t>
      </w:r>
    </w:p>
    <w:p>
      <w:pPr>
        <w:pStyle w:val="ListParagraph"/>
        <w:numPr>
          <w:ilvl w:val="0"/>
          <w:numId w:val="1"/>
        </w:numPr>
        <w:tabs>
          <w:tab w:pos="2138" w:val="left" w:leader="none"/>
        </w:tabs>
        <w:spacing w:line="293" w:lineRule="exact" w:before="1" w:after="0"/>
        <w:ind w:left="2138" w:right="0" w:hanging="360"/>
        <w:jc w:val="left"/>
        <w:rPr>
          <w:sz w:val="24"/>
        </w:rPr>
      </w:pPr>
      <w:r>
        <w:rPr>
          <w:sz w:val="24"/>
        </w:rPr>
        <w:t>Expected</w:t>
      </w:r>
      <w:r>
        <w:rPr>
          <w:spacing w:val="-3"/>
          <w:sz w:val="24"/>
        </w:rPr>
        <w:t> </w:t>
      </w:r>
      <w:r>
        <w:rPr>
          <w:sz w:val="24"/>
        </w:rPr>
        <w:t>health</w:t>
      </w:r>
      <w:r>
        <w:rPr>
          <w:spacing w:val="-1"/>
          <w:sz w:val="24"/>
        </w:rPr>
        <w:t> </w:t>
      </w:r>
      <w:r>
        <w:rPr>
          <w:sz w:val="24"/>
        </w:rPr>
        <w:t>outcomes</w:t>
      </w:r>
      <w:r>
        <w:rPr>
          <w:spacing w:val="-1"/>
          <w:sz w:val="24"/>
        </w:rPr>
        <w:t> </w:t>
      </w:r>
      <w:r>
        <w:rPr>
          <w:sz w:val="24"/>
        </w:rPr>
        <w:t>for</w:t>
      </w:r>
      <w:r>
        <w:rPr>
          <w:spacing w:val="-3"/>
          <w:sz w:val="24"/>
        </w:rPr>
        <w:t> </w:t>
      </w:r>
      <w:r>
        <w:rPr>
          <w:sz w:val="24"/>
        </w:rPr>
        <w:t>persons</w:t>
      </w:r>
      <w:r>
        <w:rPr>
          <w:spacing w:val="-1"/>
          <w:sz w:val="24"/>
        </w:rPr>
        <w:t> </w:t>
      </w:r>
      <w:r>
        <w:rPr>
          <w:sz w:val="24"/>
        </w:rPr>
        <w:t>with</w:t>
      </w:r>
      <w:r>
        <w:rPr>
          <w:spacing w:val="-1"/>
          <w:sz w:val="24"/>
        </w:rPr>
        <w:t> </w:t>
      </w:r>
      <w:r>
        <w:rPr>
          <w:sz w:val="24"/>
        </w:rPr>
        <w:t>private health </w:t>
      </w:r>
      <w:r>
        <w:rPr>
          <w:spacing w:val="-2"/>
          <w:sz w:val="24"/>
        </w:rPr>
        <w:t>insurance</w:t>
      </w:r>
    </w:p>
    <w:p>
      <w:pPr>
        <w:pStyle w:val="ListParagraph"/>
        <w:numPr>
          <w:ilvl w:val="0"/>
          <w:numId w:val="1"/>
        </w:numPr>
        <w:tabs>
          <w:tab w:pos="2138" w:val="left" w:leader="none"/>
        </w:tabs>
        <w:spacing w:line="293" w:lineRule="exact" w:before="0" w:after="0"/>
        <w:ind w:left="2138" w:right="0" w:hanging="360"/>
        <w:jc w:val="left"/>
        <w:rPr>
          <w:sz w:val="24"/>
        </w:rPr>
      </w:pPr>
      <w:r>
        <w:rPr>
          <w:sz w:val="24"/>
        </w:rPr>
        <w:t>Expected</w:t>
      </w:r>
      <w:r>
        <w:rPr>
          <w:spacing w:val="-1"/>
          <w:sz w:val="24"/>
        </w:rPr>
        <w:t> </w:t>
      </w:r>
      <w:r>
        <w:rPr>
          <w:sz w:val="24"/>
        </w:rPr>
        <w:t>reductions</w:t>
      </w:r>
      <w:r>
        <w:rPr>
          <w:spacing w:val="-1"/>
          <w:sz w:val="24"/>
        </w:rPr>
        <w:t> </w:t>
      </w:r>
      <w:r>
        <w:rPr>
          <w:sz w:val="24"/>
        </w:rPr>
        <w:t>of</w:t>
      </w:r>
      <w:r>
        <w:rPr>
          <w:spacing w:val="-1"/>
          <w:sz w:val="24"/>
        </w:rPr>
        <w:t> </w:t>
      </w:r>
      <w:r>
        <w:rPr>
          <w:sz w:val="24"/>
        </w:rPr>
        <w:t>burden</w:t>
      </w:r>
      <w:r>
        <w:rPr>
          <w:spacing w:val="-1"/>
          <w:sz w:val="24"/>
        </w:rPr>
        <w:t> </w:t>
      </w:r>
      <w:r>
        <w:rPr>
          <w:sz w:val="24"/>
        </w:rPr>
        <w:t>on</w:t>
      </w:r>
      <w:r>
        <w:rPr>
          <w:spacing w:val="-1"/>
          <w:sz w:val="24"/>
        </w:rPr>
        <w:t> </w:t>
      </w:r>
      <w:r>
        <w:rPr>
          <w:sz w:val="24"/>
        </w:rPr>
        <w:t>the</w:t>
      </w:r>
      <w:r>
        <w:rPr>
          <w:spacing w:val="-1"/>
          <w:sz w:val="24"/>
        </w:rPr>
        <w:t> </w:t>
      </w:r>
      <w:r>
        <w:rPr>
          <w:sz w:val="24"/>
        </w:rPr>
        <w:t>public</w:t>
      </w:r>
      <w:r>
        <w:rPr>
          <w:spacing w:val="-1"/>
          <w:sz w:val="24"/>
        </w:rPr>
        <w:t> </w:t>
      </w:r>
      <w:r>
        <w:rPr>
          <w:sz w:val="24"/>
        </w:rPr>
        <w:t>health </w:t>
      </w:r>
      <w:r>
        <w:rPr>
          <w:spacing w:val="-2"/>
          <w:sz w:val="24"/>
        </w:rPr>
        <w:t>system</w:t>
      </w:r>
    </w:p>
    <w:p>
      <w:pPr>
        <w:pStyle w:val="BodyText"/>
        <w:spacing w:before="273"/>
        <w:ind w:left="1418" w:right="650"/>
        <w:jc w:val="both"/>
      </w:pPr>
      <w:r>
        <w:rPr/>
        <w:t>The</w:t>
      </w:r>
      <w:r>
        <w:rPr>
          <w:spacing w:val="-2"/>
        </w:rPr>
        <w:t> </w:t>
      </w:r>
      <w:r>
        <w:rPr/>
        <w:t>point</w:t>
      </w:r>
      <w:r>
        <w:rPr>
          <w:spacing w:val="-1"/>
        </w:rPr>
        <w:t> </w:t>
      </w:r>
      <w:r>
        <w:rPr/>
        <w:t>of</w:t>
      </w:r>
      <w:r>
        <w:rPr>
          <w:spacing w:val="-1"/>
        </w:rPr>
        <w:t> </w:t>
      </w:r>
      <w:r>
        <w:rPr/>
        <w:t>these reforms</w:t>
      </w:r>
      <w:r>
        <w:rPr>
          <w:spacing w:val="-1"/>
        </w:rPr>
        <w:t> </w:t>
      </w:r>
      <w:r>
        <w:rPr/>
        <w:t>out</w:t>
      </w:r>
      <w:r>
        <w:rPr>
          <w:spacing w:val="-1"/>
        </w:rPr>
        <w:t> </w:t>
      </w:r>
      <w:r>
        <w:rPr/>
        <w:t>to</w:t>
      </w:r>
      <w:r>
        <w:rPr>
          <w:spacing w:val="-1"/>
        </w:rPr>
        <w:t> </w:t>
      </w:r>
      <w:r>
        <w:rPr/>
        <w:t>be</w:t>
      </w:r>
      <w:r>
        <w:rPr>
          <w:spacing w:val="-2"/>
        </w:rPr>
        <w:t> </w:t>
      </w:r>
      <w:r>
        <w:rPr/>
        <w:t>providing</w:t>
      </w:r>
      <w:r>
        <w:rPr>
          <w:spacing w:val="-1"/>
        </w:rPr>
        <w:t> </w:t>
      </w:r>
      <w:r>
        <w:rPr/>
        <w:t>consumers</w:t>
      </w:r>
      <w:r>
        <w:rPr>
          <w:spacing w:val="-1"/>
        </w:rPr>
        <w:t> </w:t>
      </w:r>
      <w:r>
        <w:rPr/>
        <w:t>with</w:t>
      </w:r>
      <w:r>
        <w:rPr>
          <w:spacing w:val="-1"/>
        </w:rPr>
        <w:t> </w:t>
      </w:r>
      <w:r>
        <w:rPr/>
        <w:t>the confidence</w:t>
      </w:r>
      <w:r>
        <w:rPr>
          <w:spacing w:val="-2"/>
        </w:rPr>
        <w:t> </w:t>
      </w:r>
      <w:r>
        <w:rPr/>
        <w:t>that</w:t>
      </w:r>
      <w:r>
        <w:rPr>
          <w:spacing w:val="-1"/>
        </w:rPr>
        <w:t> </w:t>
      </w:r>
      <w:r>
        <w:rPr/>
        <w:t>the</w:t>
      </w:r>
      <w:r>
        <w:rPr>
          <w:spacing w:val="-2"/>
        </w:rPr>
        <w:t> </w:t>
      </w:r>
      <w:r>
        <w:rPr/>
        <w:t>policies they purchase will provide them with real value. This confidence would be driven by transparency of information and clear measures of performance. A system that delivers any less is not worth sustaining.</w:t>
      </w:r>
    </w:p>
    <w:p>
      <w:pPr>
        <w:pStyle w:val="BodyText"/>
      </w:pPr>
    </w:p>
    <w:p>
      <w:pPr>
        <w:pStyle w:val="BodyText"/>
        <w:ind w:left="1418" w:right="4732"/>
      </w:pPr>
      <w:r>
        <w:rPr/>
        <w:t>Consumers</w:t>
      </w:r>
      <w:r>
        <w:rPr>
          <w:spacing w:val="-8"/>
        </w:rPr>
        <w:t> </w:t>
      </w:r>
      <w:r>
        <w:rPr/>
        <w:t>Health</w:t>
      </w:r>
      <w:r>
        <w:rPr>
          <w:spacing w:val="-8"/>
        </w:rPr>
        <w:t> </w:t>
      </w:r>
      <w:r>
        <w:rPr/>
        <w:t>Forum</w:t>
      </w:r>
      <w:r>
        <w:rPr>
          <w:spacing w:val="-8"/>
        </w:rPr>
        <w:t> </w:t>
      </w:r>
      <w:r>
        <w:rPr/>
        <w:t>of</w:t>
      </w:r>
      <w:r>
        <w:rPr>
          <w:spacing w:val="-8"/>
        </w:rPr>
        <w:t> </w:t>
      </w:r>
      <w:r>
        <w:rPr/>
        <w:t>Australia</w:t>
      </w:r>
      <w:r>
        <w:rPr>
          <w:spacing w:val="-7"/>
        </w:rPr>
        <w:t> </w:t>
      </w:r>
      <w:r>
        <w:rPr/>
        <w:t>Ltd December 2015</w:t>
      </w:r>
    </w:p>
    <w:p>
      <w:pPr>
        <w:spacing w:after="0"/>
        <w:sectPr>
          <w:pgSz w:w="11910" w:h="16840"/>
          <w:pgMar w:header="1407" w:footer="1458" w:top="1720" w:bottom="1640" w:left="0" w:right="760"/>
        </w:sectPr>
      </w:pPr>
    </w:p>
    <w:p>
      <w:pPr>
        <w:pStyle w:val="BodyText"/>
        <w:rPr>
          <w:sz w:val="20"/>
        </w:rPr>
      </w:pPr>
    </w:p>
    <w:p>
      <w:pPr>
        <w:pStyle w:val="BodyText"/>
        <w:spacing w:before="188"/>
        <w:rPr>
          <w:sz w:val="20"/>
        </w:rPr>
      </w:pPr>
    </w:p>
    <w:p>
      <w:pPr>
        <w:pStyle w:val="BodyText"/>
        <w:rPr>
          <w:sz w:val="20"/>
        </w:rPr>
      </w:pPr>
      <w:r>
        <w:rPr>
          <w:sz w:val="20"/>
        </w:rPr>
        <w:drawing>
          <wp:inline distT="0" distB="0" distL="0" distR="0">
            <wp:extent cx="4740021" cy="201168"/>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4740021" cy="201168"/>
                    </a:xfrm>
                    <a:prstGeom prst="rect">
                      <a:avLst/>
                    </a:prstGeom>
                  </pic:spPr>
                </pic:pic>
              </a:graphicData>
            </a:graphic>
          </wp:inline>
        </w:drawing>
      </w:r>
      <w:r>
        <w:rPr>
          <w:sz w:val="20"/>
        </w:rPr>
      </w:r>
    </w:p>
    <w:p>
      <w:pPr>
        <w:pStyle w:val="BodyText"/>
        <w:spacing w:before="26"/>
      </w:pPr>
    </w:p>
    <w:p>
      <w:pPr>
        <w:pStyle w:val="BodyText"/>
        <w:ind w:left="1418" w:right="2500"/>
        <w:jc w:val="both"/>
      </w:pPr>
      <w:r>
        <w:rPr/>
        <w:drawing>
          <wp:anchor distT="0" distB="0" distL="0" distR="0" allowOverlap="1" layoutInCell="1" locked="0" behindDoc="0" simplePos="0" relativeHeight="15730176">
            <wp:simplePos x="0" y="0"/>
            <wp:positionH relativeFrom="page">
              <wp:posOffset>5716523</wp:posOffset>
            </wp:positionH>
            <wp:positionV relativeFrom="paragraph">
              <wp:posOffset>-809991</wp:posOffset>
            </wp:positionV>
            <wp:extent cx="1206246" cy="1648942"/>
            <wp:effectExtent l="0" t="0" r="0" b="0"/>
            <wp:wrapNone/>
            <wp:docPr id="10" name="Image 10" descr="CHF_logoRGB"/>
            <wp:cNvGraphicFramePr>
              <a:graphicFrameLocks/>
            </wp:cNvGraphicFramePr>
            <a:graphic>
              <a:graphicData uri="http://schemas.openxmlformats.org/drawingml/2006/picture">
                <pic:pic>
                  <pic:nvPicPr>
                    <pic:cNvPr id="10" name="Image 10" descr="CHF_logoRGB"/>
                    <pic:cNvPicPr/>
                  </pic:nvPicPr>
                  <pic:blipFill>
                    <a:blip r:embed="rId7" cstate="print"/>
                    <a:stretch>
                      <a:fillRect/>
                    </a:stretch>
                  </pic:blipFill>
                  <pic:spPr>
                    <a:xfrm>
                      <a:off x="0" y="0"/>
                      <a:ext cx="1206246" cy="1648942"/>
                    </a:xfrm>
                    <a:prstGeom prst="rect">
                      <a:avLst/>
                    </a:prstGeom>
                  </pic:spPr>
                </pic:pic>
              </a:graphicData>
            </a:graphic>
          </wp:anchor>
        </w:drawing>
      </w:r>
      <w:r>
        <w:rPr/>
        <w:t>The Consumers Health Forum of Australia (CHF) is the national peak</w:t>
      </w:r>
      <w:r>
        <w:rPr>
          <w:spacing w:val="40"/>
        </w:rPr>
        <w:t> </w:t>
      </w:r>
      <w:r>
        <w:rPr/>
        <w:t>body representing the interests of Australian healthcare consumers.</w:t>
      </w:r>
      <w:r>
        <w:rPr>
          <w:spacing w:val="40"/>
        </w:rPr>
        <w:t> </w:t>
      </w:r>
      <w:r>
        <w:rPr/>
        <w:t>CHF works to achieve safe, quality, timely healthcare for all Australians, supported by accessible health information and systems.</w:t>
      </w:r>
    </w:p>
    <w:p>
      <w:pPr>
        <w:pStyle w:val="BodyText"/>
      </w:pPr>
    </w:p>
    <w:p>
      <w:pPr>
        <w:pStyle w:val="BodyText"/>
        <w:spacing w:before="1"/>
        <w:ind w:left="1418"/>
        <w:jc w:val="both"/>
      </w:pPr>
      <w:r>
        <w:rPr/>
        <w:t>CHF</w:t>
      </w:r>
      <w:r>
        <w:rPr>
          <w:spacing w:val="-3"/>
        </w:rPr>
        <w:t> </w:t>
      </w:r>
      <w:r>
        <w:rPr/>
        <w:t>does this </w:t>
      </w:r>
      <w:r>
        <w:rPr>
          <w:spacing w:val="-5"/>
        </w:rPr>
        <w:t>by:</w:t>
      </w:r>
    </w:p>
    <w:p>
      <w:pPr>
        <w:pStyle w:val="ListParagraph"/>
        <w:numPr>
          <w:ilvl w:val="0"/>
          <w:numId w:val="2"/>
        </w:numPr>
        <w:tabs>
          <w:tab w:pos="2137" w:val="left" w:leader="none"/>
        </w:tabs>
        <w:spacing w:line="240" w:lineRule="auto" w:before="276" w:after="0"/>
        <w:ind w:left="2137" w:right="0" w:hanging="359"/>
        <w:jc w:val="left"/>
        <w:rPr>
          <w:sz w:val="24"/>
        </w:rPr>
      </w:pPr>
      <w:r>
        <w:rPr>
          <w:sz w:val="24"/>
        </w:rPr>
        <w:t>advocating</w:t>
      </w:r>
      <w:r>
        <w:rPr>
          <w:spacing w:val="-5"/>
          <w:sz w:val="24"/>
        </w:rPr>
        <w:t> </w:t>
      </w:r>
      <w:r>
        <w:rPr>
          <w:sz w:val="24"/>
        </w:rPr>
        <w:t>for</w:t>
      </w:r>
      <w:r>
        <w:rPr>
          <w:spacing w:val="-1"/>
          <w:sz w:val="24"/>
        </w:rPr>
        <w:t> </w:t>
      </w:r>
      <w:r>
        <w:rPr>
          <w:sz w:val="24"/>
        </w:rPr>
        <w:t>appropriate</w:t>
      </w:r>
      <w:r>
        <w:rPr>
          <w:spacing w:val="-1"/>
          <w:sz w:val="24"/>
        </w:rPr>
        <w:t> </w:t>
      </w:r>
      <w:r>
        <w:rPr>
          <w:sz w:val="24"/>
        </w:rPr>
        <w:t>and</w:t>
      </w:r>
      <w:r>
        <w:rPr>
          <w:spacing w:val="-2"/>
          <w:sz w:val="24"/>
        </w:rPr>
        <w:t> </w:t>
      </w:r>
      <w:r>
        <w:rPr>
          <w:sz w:val="24"/>
        </w:rPr>
        <w:t>equitable</w:t>
      </w:r>
      <w:r>
        <w:rPr>
          <w:spacing w:val="-1"/>
          <w:sz w:val="24"/>
        </w:rPr>
        <w:t> </w:t>
      </w:r>
      <w:r>
        <w:rPr>
          <w:spacing w:val="-2"/>
          <w:sz w:val="24"/>
        </w:rPr>
        <w:t>healthcare</w:t>
      </w:r>
    </w:p>
    <w:p>
      <w:pPr>
        <w:pStyle w:val="ListParagraph"/>
        <w:numPr>
          <w:ilvl w:val="0"/>
          <w:numId w:val="2"/>
        </w:numPr>
        <w:tabs>
          <w:tab w:pos="2138" w:val="left" w:leader="none"/>
        </w:tabs>
        <w:spacing w:line="240" w:lineRule="auto" w:before="276" w:after="0"/>
        <w:ind w:left="2138" w:right="660" w:hanging="360"/>
        <w:jc w:val="left"/>
        <w:rPr>
          <w:sz w:val="24"/>
        </w:rPr>
      </w:pPr>
      <w:r>
        <w:rPr>
          <w:sz w:val="24"/>
        </w:rPr>
        <w:t>undertaking consumer-based</w:t>
      </w:r>
      <w:r>
        <w:rPr>
          <w:spacing w:val="28"/>
          <w:sz w:val="24"/>
        </w:rPr>
        <w:t> </w:t>
      </w:r>
      <w:r>
        <w:rPr>
          <w:sz w:val="24"/>
        </w:rPr>
        <w:t>research</w:t>
      </w:r>
      <w:r>
        <w:rPr>
          <w:spacing w:val="28"/>
          <w:sz w:val="24"/>
        </w:rPr>
        <w:t> </w:t>
      </w:r>
      <w:r>
        <w:rPr>
          <w:sz w:val="24"/>
        </w:rPr>
        <w:t>and</w:t>
      </w:r>
      <w:r>
        <w:rPr>
          <w:spacing w:val="28"/>
          <w:sz w:val="24"/>
        </w:rPr>
        <w:t> </w:t>
      </w:r>
      <w:r>
        <w:rPr>
          <w:sz w:val="24"/>
        </w:rPr>
        <w:t>developing a strong consumer knowledge </w:t>
      </w:r>
      <w:r>
        <w:rPr>
          <w:spacing w:val="-4"/>
          <w:sz w:val="24"/>
        </w:rPr>
        <w:t>base</w:t>
      </w:r>
    </w:p>
    <w:p>
      <w:pPr>
        <w:pStyle w:val="ListParagraph"/>
        <w:numPr>
          <w:ilvl w:val="0"/>
          <w:numId w:val="2"/>
        </w:numPr>
        <w:tabs>
          <w:tab w:pos="2137" w:val="left" w:leader="none"/>
        </w:tabs>
        <w:spacing w:line="240" w:lineRule="auto" w:before="276" w:after="0"/>
        <w:ind w:left="2137" w:right="0" w:hanging="359"/>
        <w:jc w:val="left"/>
        <w:rPr>
          <w:sz w:val="24"/>
        </w:rPr>
      </w:pPr>
      <w:r>
        <w:rPr>
          <w:sz w:val="24"/>
        </w:rPr>
        <w:t>identifying</w:t>
      </w:r>
      <w:r>
        <w:rPr>
          <w:spacing w:val="-5"/>
          <w:sz w:val="24"/>
        </w:rPr>
        <w:t> </w:t>
      </w:r>
      <w:r>
        <w:rPr>
          <w:sz w:val="24"/>
        </w:rPr>
        <w:t>key</w:t>
      </w:r>
      <w:r>
        <w:rPr>
          <w:spacing w:val="-5"/>
          <w:sz w:val="24"/>
        </w:rPr>
        <w:t> </w:t>
      </w:r>
      <w:r>
        <w:rPr>
          <w:sz w:val="24"/>
        </w:rPr>
        <w:t>issues in</w:t>
      </w:r>
      <w:r>
        <w:rPr>
          <w:spacing w:val="2"/>
          <w:sz w:val="24"/>
        </w:rPr>
        <w:t> </w:t>
      </w:r>
      <w:r>
        <w:rPr>
          <w:sz w:val="24"/>
        </w:rPr>
        <w:t>safety</w:t>
      </w:r>
      <w:r>
        <w:rPr>
          <w:spacing w:val="-5"/>
          <w:sz w:val="24"/>
        </w:rPr>
        <w:t> </w:t>
      </w:r>
      <w:r>
        <w:rPr>
          <w:sz w:val="24"/>
        </w:rPr>
        <w:t>and</w:t>
      </w:r>
      <w:r>
        <w:rPr>
          <w:spacing w:val="1"/>
          <w:sz w:val="24"/>
        </w:rPr>
        <w:t> </w:t>
      </w:r>
      <w:r>
        <w:rPr>
          <w:sz w:val="24"/>
        </w:rPr>
        <w:t>quality</w:t>
      </w:r>
      <w:r>
        <w:rPr>
          <w:spacing w:val="-5"/>
          <w:sz w:val="24"/>
        </w:rPr>
        <w:t> </w:t>
      </w:r>
      <w:r>
        <w:rPr>
          <w:sz w:val="24"/>
        </w:rPr>
        <w:t>of health services for</w:t>
      </w:r>
      <w:r>
        <w:rPr>
          <w:spacing w:val="1"/>
          <w:sz w:val="24"/>
        </w:rPr>
        <w:t> </w:t>
      </w:r>
      <w:r>
        <w:rPr>
          <w:spacing w:val="-2"/>
          <w:sz w:val="24"/>
        </w:rPr>
        <w:t>consumers</w:t>
      </w:r>
    </w:p>
    <w:p>
      <w:pPr>
        <w:pStyle w:val="BodyText"/>
      </w:pPr>
    </w:p>
    <w:p>
      <w:pPr>
        <w:pStyle w:val="ListParagraph"/>
        <w:numPr>
          <w:ilvl w:val="0"/>
          <w:numId w:val="2"/>
        </w:numPr>
        <w:tabs>
          <w:tab w:pos="2137" w:val="left" w:leader="none"/>
        </w:tabs>
        <w:spacing w:line="240" w:lineRule="auto" w:before="0" w:after="0"/>
        <w:ind w:left="2137" w:right="0" w:hanging="359"/>
        <w:jc w:val="left"/>
        <w:rPr>
          <w:sz w:val="24"/>
        </w:rPr>
      </w:pPr>
      <w:r>
        <w:rPr>
          <w:sz w:val="24"/>
        </w:rPr>
        <w:t>raising</w:t>
      </w:r>
      <w:r>
        <w:rPr>
          <w:spacing w:val="-4"/>
          <w:sz w:val="24"/>
        </w:rPr>
        <w:t> </w:t>
      </w:r>
      <w:r>
        <w:rPr>
          <w:sz w:val="24"/>
        </w:rPr>
        <w:t>the</w:t>
      </w:r>
      <w:r>
        <w:rPr>
          <w:spacing w:val="-1"/>
          <w:sz w:val="24"/>
        </w:rPr>
        <w:t> </w:t>
      </w:r>
      <w:r>
        <w:rPr>
          <w:sz w:val="24"/>
        </w:rPr>
        <w:t>health</w:t>
      </w:r>
      <w:r>
        <w:rPr>
          <w:spacing w:val="-1"/>
          <w:sz w:val="24"/>
        </w:rPr>
        <w:t> </w:t>
      </w:r>
      <w:r>
        <w:rPr>
          <w:sz w:val="24"/>
        </w:rPr>
        <w:t>literacy</w:t>
      </w:r>
      <w:r>
        <w:rPr>
          <w:spacing w:val="-4"/>
          <w:sz w:val="24"/>
        </w:rPr>
        <w:t> </w:t>
      </w:r>
      <w:r>
        <w:rPr>
          <w:sz w:val="24"/>
        </w:rPr>
        <w:t>of consumers,</w:t>
      </w:r>
      <w:r>
        <w:rPr>
          <w:spacing w:val="-1"/>
          <w:sz w:val="24"/>
        </w:rPr>
        <w:t> </w:t>
      </w:r>
      <w:r>
        <w:rPr>
          <w:sz w:val="24"/>
        </w:rPr>
        <w:t>health</w:t>
      </w:r>
      <w:r>
        <w:rPr>
          <w:spacing w:val="-1"/>
          <w:sz w:val="24"/>
        </w:rPr>
        <w:t> </w:t>
      </w:r>
      <w:r>
        <w:rPr>
          <w:sz w:val="24"/>
        </w:rPr>
        <w:t>professionals</w:t>
      </w:r>
      <w:r>
        <w:rPr>
          <w:spacing w:val="-1"/>
          <w:sz w:val="24"/>
        </w:rPr>
        <w:t> </w:t>
      </w:r>
      <w:r>
        <w:rPr>
          <w:sz w:val="24"/>
        </w:rPr>
        <w:t>and </w:t>
      </w:r>
      <w:r>
        <w:rPr>
          <w:spacing w:val="-2"/>
          <w:sz w:val="24"/>
        </w:rPr>
        <w:t>stakeholders</w:t>
      </w:r>
    </w:p>
    <w:p>
      <w:pPr>
        <w:pStyle w:val="BodyText"/>
      </w:pPr>
    </w:p>
    <w:p>
      <w:pPr>
        <w:pStyle w:val="ListParagraph"/>
        <w:numPr>
          <w:ilvl w:val="0"/>
          <w:numId w:val="2"/>
        </w:numPr>
        <w:tabs>
          <w:tab w:pos="2138" w:val="left" w:leader="none"/>
        </w:tabs>
        <w:spacing w:line="240" w:lineRule="auto" w:before="0" w:after="0"/>
        <w:ind w:left="2138" w:right="660" w:hanging="360"/>
        <w:jc w:val="left"/>
        <w:rPr>
          <w:sz w:val="24"/>
        </w:rPr>
      </w:pPr>
      <w:r>
        <w:rPr>
          <w:sz w:val="24"/>
        </w:rPr>
        <w:t>providing</w:t>
      </w:r>
      <w:r>
        <w:rPr>
          <w:spacing w:val="40"/>
          <w:sz w:val="24"/>
        </w:rPr>
        <w:t> </w:t>
      </w:r>
      <w:r>
        <w:rPr>
          <w:sz w:val="24"/>
        </w:rPr>
        <w:t>a</w:t>
      </w:r>
      <w:r>
        <w:rPr>
          <w:spacing w:val="40"/>
          <w:sz w:val="24"/>
        </w:rPr>
        <w:t> </w:t>
      </w:r>
      <w:r>
        <w:rPr>
          <w:sz w:val="24"/>
        </w:rPr>
        <w:t>strong</w:t>
      </w:r>
      <w:r>
        <w:rPr>
          <w:spacing w:val="40"/>
          <w:sz w:val="24"/>
        </w:rPr>
        <w:t> </w:t>
      </w:r>
      <w:r>
        <w:rPr>
          <w:sz w:val="24"/>
        </w:rPr>
        <w:t>national</w:t>
      </w:r>
      <w:r>
        <w:rPr>
          <w:spacing w:val="40"/>
          <w:sz w:val="24"/>
        </w:rPr>
        <w:t> </w:t>
      </w:r>
      <w:r>
        <w:rPr>
          <w:sz w:val="24"/>
        </w:rPr>
        <w:t>voice</w:t>
      </w:r>
      <w:r>
        <w:rPr>
          <w:spacing w:val="40"/>
          <w:sz w:val="24"/>
        </w:rPr>
        <w:t> </w:t>
      </w:r>
      <w:r>
        <w:rPr>
          <w:sz w:val="24"/>
        </w:rPr>
        <w:t>for</w:t>
      </w:r>
      <w:r>
        <w:rPr>
          <w:spacing w:val="40"/>
          <w:sz w:val="24"/>
        </w:rPr>
        <w:t> </w:t>
      </w:r>
      <w:r>
        <w:rPr>
          <w:sz w:val="24"/>
        </w:rPr>
        <w:t>health</w:t>
      </w:r>
      <w:r>
        <w:rPr>
          <w:spacing w:val="40"/>
          <w:sz w:val="24"/>
        </w:rPr>
        <w:t> </w:t>
      </w:r>
      <w:r>
        <w:rPr>
          <w:sz w:val="24"/>
        </w:rPr>
        <w:t>consumers</w:t>
      </w:r>
      <w:r>
        <w:rPr>
          <w:spacing w:val="40"/>
          <w:sz w:val="24"/>
        </w:rPr>
        <w:t> </w:t>
      </w:r>
      <w:r>
        <w:rPr>
          <w:sz w:val="24"/>
        </w:rPr>
        <w:t>and</w:t>
      </w:r>
      <w:r>
        <w:rPr>
          <w:spacing w:val="40"/>
          <w:sz w:val="24"/>
        </w:rPr>
        <w:t> </w:t>
      </w:r>
      <w:r>
        <w:rPr>
          <w:sz w:val="24"/>
        </w:rPr>
        <w:t>supporting</w:t>
      </w:r>
      <w:r>
        <w:rPr>
          <w:spacing w:val="40"/>
          <w:sz w:val="24"/>
        </w:rPr>
        <w:t> </w:t>
      </w:r>
      <w:r>
        <w:rPr>
          <w:sz w:val="24"/>
        </w:rPr>
        <w:t>consumer participation in health policy and program decision making</w:t>
      </w:r>
    </w:p>
    <w:p>
      <w:pPr>
        <w:pStyle w:val="BodyText"/>
      </w:pPr>
    </w:p>
    <w:p>
      <w:pPr>
        <w:pStyle w:val="BodyText"/>
        <w:ind w:left="1418"/>
      </w:pPr>
      <w:r>
        <w:rPr/>
        <w:t>CHF</w:t>
      </w:r>
      <w:r>
        <w:rPr>
          <w:spacing w:val="-2"/>
        </w:rPr>
        <w:t> values:</w:t>
      </w:r>
    </w:p>
    <w:p>
      <w:pPr>
        <w:pStyle w:val="BodyText"/>
        <w:spacing w:before="2"/>
      </w:pPr>
    </w:p>
    <w:p>
      <w:pPr>
        <w:pStyle w:val="ListParagraph"/>
        <w:numPr>
          <w:ilvl w:val="1"/>
          <w:numId w:val="2"/>
        </w:numPr>
        <w:tabs>
          <w:tab w:pos="2138" w:val="left" w:leader="none"/>
        </w:tabs>
        <w:spacing w:line="240" w:lineRule="auto" w:before="0" w:after="0"/>
        <w:ind w:left="2138" w:right="0" w:hanging="360"/>
        <w:jc w:val="left"/>
        <w:rPr>
          <w:sz w:val="24"/>
        </w:rPr>
      </w:pPr>
      <w:r>
        <w:rPr>
          <w:sz w:val="24"/>
        </w:rPr>
        <w:t>our</w:t>
      </w:r>
      <w:r>
        <w:rPr>
          <w:spacing w:val="-4"/>
          <w:sz w:val="24"/>
        </w:rPr>
        <w:t> </w:t>
      </w:r>
      <w:r>
        <w:rPr>
          <w:sz w:val="24"/>
        </w:rPr>
        <w:t>members’</w:t>
      </w:r>
      <w:r>
        <w:rPr>
          <w:spacing w:val="-3"/>
          <w:sz w:val="24"/>
        </w:rPr>
        <w:t> </w:t>
      </w:r>
      <w:r>
        <w:rPr>
          <w:sz w:val="24"/>
        </w:rPr>
        <w:t>knowledge,</w:t>
      </w:r>
      <w:r>
        <w:rPr>
          <w:spacing w:val="-2"/>
          <w:sz w:val="24"/>
        </w:rPr>
        <w:t> </w:t>
      </w:r>
      <w:r>
        <w:rPr>
          <w:sz w:val="24"/>
        </w:rPr>
        <w:t>experience</w:t>
      </w:r>
      <w:r>
        <w:rPr>
          <w:spacing w:val="-2"/>
          <w:sz w:val="24"/>
        </w:rPr>
        <w:t> </w:t>
      </w:r>
      <w:r>
        <w:rPr>
          <w:sz w:val="24"/>
        </w:rPr>
        <w:t>and</w:t>
      </w:r>
      <w:r>
        <w:rPr>
          <w:spacing w:val="-2"/>
          <w:sz w:val="24"/>
        </w:rPr>
        <w:t> involvement</w:t>
      </w:r>
    </w:p>
    <w:p>
      <w:pPr>
        <w:pStyle w:val="ListParagraph"/>
        <w:numPr>
          <w:ilvl w:val="1"/>
          <w:numId w:val="2"/>
        </w:numPr>
        <w:tabs>
          <w:tab w:pos="2138" w:val="left" w:leader="none"/>
        </w:tabs>
        <w:spacing w:line="240" w:lineRule="auto" w:before="275" w:after="0"/>
        <w:ind w:left="2138" w:right="0" w:hanging="360"/>
        <w:jc w:val="left"/>
        <w:rPr>
          <w:sz w:val="24"/>
        </w:rPr>
      </w:pPr>
      <w:r>
        <w:rPr>
          <w:sz w:val="24"/>
        </w:rPr>
        <w:t>development</w:t>
      </w:r>
      <w:r>
        <w:rPr>
          <w:spacing w:val="-3"/>
          <w:sz w:val="24"/>
        </w:rPr>
        <w:t> </w:t>
      </w:r>
      <w:r>
        <w:rPr>
          <w:sz w:val="24"/>
        </w:rPr>
        <w:t>of</w:t>
      </w:r>
      <w:r>
        <w:rPr>
          <w:spacing w:val="-1"/>
          <w:sz w:val="24"/>
        </w:rPr>
        <w:t> </w:t>
      </w:r>
      <w:r>
        <w:rPr>
          <w:sz w:val="24"/>
        </w:rPr>
        <w:t>an</w:t>
      </w:r>
      <w:r>
        <w:rPr>
          <w:spacing w:val="-1"/>
          <w:sz w:val="24"/>
        </w:rPr>
        <w:t> </w:t>
      </w:r>
      <w:r>
        <w:rPr>
          <w:sz w:val="24"/>
        </w:rPr>
        <w:t>integrated</w:t>
      </w:r>
      <w:r>
        <w:rPr>
          <w:spacing w:val="-1"/>
          <w:sz w:val="24"/>
        </w:rPr>
        <w:t> </w:t>
      </w:r>
      <w:r>
        <w:rPr>
          <w:sz w:val="24"/>
        </w:rPr>
        <w:t>healthcare</w:t>
      </w:r>
      <w:r>
        <w:rPr>
          <w:spacing w:val="-3"/>
          <w:sz w:val="24"/>
        </w:rPr>
        <w:t> </w:t>
      </w:r>
      <w:r>
        <w:rPr>
          <w:sz w:val="24"/>
        </w:rPr>
        <w:t>system</w:t>
      </w:r>
      <w:r>
        <w:rPr>
          <w:spacing w:val="-1"/>
          <w:sz w:val="24"/>
        </w:rPr>
        <w:t> </w:t>
      </w:r>
      <w:r>
        <w:rPr>
          <w:sz w:val="24"/>
        </w:rPr>
        <w:t>that</w:t>
      </w:r>
      <w:r>
        <w:rPr>
          <w:spacing w:val="-1"/>
          <w:sz w:val="24"/>
        </w:rPr>
        <w:t> </w:t>
      </w:r>
      <w:r>
        <w:rPr>
          <w:sz w:val="24"/>
        </w:rPr>
        <w:t>values</w:t>
      </w:r>
      <w:r>
        <w:rPr>
          <w:spacing w:val="-1"/>
          <w:sz w:val="24"/>
        </w:rPr>
        <w:t> </w:t>
      </w:r>
      <w:r>
        <w:rPr>
          <w:sz w:val="24"/>
        </w:rPr>
        <w:t>the</w:t>
      </w:r>
      <w:r>
        <w:rPr>
          <w:spacing w:val="-1"/>
          <w:sz w:val="24"/>
        </w:rPr>
        <w:t> </w:t>
      </w:r>
      <w:r>
        <w:rPr>
          <w:sz w:val="24"/>
        </w:rPr>
        <w:t>consumer </w:t>
      </w:r>
      <w:r>
        <w:rPr>
          <w:spacing w:val="-2"/>
          <w:sz w:val="24"/>
        </w:rPr>
        <w:t>experience</w:t>
      </w:r>
    </w:p>
    <w:p>
      <w:pPr>
        <w:pStyle w:val="ListParagraph"/>
        <w:numPr>
          <w:ilvl w:val="1"/>
          <w:numId w:val="2"/>
        </w:numPr>
        <w:tabs>
          <w:tab w:pos="2138" w:val="left" w:leader="none"/>
        </w:tabs>
        <w:spacing w:line="240" w:lineRule="auto" w:before="275" w:after="0"/>
        <w:ind w:left="2138" w:right="0" w:hanging="360"/>
        <w:jc w:val="left"/>
        <w:rPr>
          <w:sz w:val="24"/>
        </w:rPr>
      </w:pPr>
      <w:r>
        <w:rPr>
          <w:sz w:val="24"/>
        </w:rPr>
        <w:t>prevention and early</w:t>
      </w:r>
      <w:r>
        <w:rPr>
          <w:spacing w:val="-5"/>
          <w:sz w:val="24"/>
        </w:rPr>
        <w:t> </w:t>
      </w:r>
      <w:r>
        <w:rPr>
          <w:spacing w:val="-2"/>
          <w:sz w:val="24"/>
        </w:rPr>
        <w:t>intervention</w:t>
      </w:r>
    </w:p>
    <w:p>
      <w:pPr>
        <w:pStyle w:val="ListParagraph"/>
        <w:numPr>
          <w:ilvl w:val="1"/>
          <w:numId w:val="2"/>
        </w:numPr>
        <w:tabs>
          <w:tab w:pos="2138" w:val="left" w:leader="none"/>
        </w:tabs>
        <w:spacing w:line="240" w:lineRule="auto" w:before="275" w:after="0"/>
        <w:ind w:left="2138" w:right="0" w:hanging="360"/>
        <w:jc w:val="left"/>
        <w:rPr>
          <w:sz w:val="24"/>
        </w:rPr>
      </w:pPr>
      <w:r>
        <w:rPr>
          <w:sz w:val="24"/>
        </w:rPr>
        <w:t>collaborative</w:t>
      </w:r>
      <w:r>
        <w:rPr>
          <w:spacing w:val="-4"/>
          <w:sz w:val="24"/>
        </w:rPr>
        <w:t> </w:t>
      </w:r>
      <w:r>
        <w:rPr>
          <w:sz w:val="24"/>
        </w:rPr>
        <w:t>integrated</w:t>
      </w:r>
      <w:r>
        <w:rPr>
          <w:spacing w:val="-3"/>
          <w:sz w:val="24"/>
        </w:rPr>
        <w:t> </w:t>
      </w:r>
      <w:r>
        <w:rPr>
          <w:spacing w:val="-2"/>
          <w:sz w:val="24"/>
        </w:rPr>
        <w:t>healthcare</w:t>
      </w:r>
    </w:p>
    <w:p>
      <w:pPr>
        <w:pStyle w:val="ListParagraph"/>
        <w:numPr>
          <w:ilvl w:val="1"/>
          <w:numId w:val="2"/>
        </w:numPr>
        <w:tabs>
          <w:tab w:pos="2138" w:val="left" w:leader="none"/>
        </w:tabs>
        <w:spacing w:line="240" w:lineRule="auto" w:before="275" w:after="0"/>
        <w:ind w:left="2138" w:right="0" w:hanging="360"/>
        <w:jc w:val="left"/>
        <w:rPr>
          <w:sz w:val="24"/>
        </w:rPr>
      </w:pPr>
      <w:r>
        <w:rPr>
          <w:sz w:val="24"/>
        </w:rPr>
        <w:t>working</w:t>
      </w:r>
      <w:r>
        <w:rPr>
          <w:spacing w:val="-3"/>
          <w:sz w:val="24"/>
        </w:rPr>
        <w:t> </w:t>
      </w:r>
      <w:r>
        <w:rPr>
          <w:sz w:val="24"/>
        </w:rPr>
        <w:t>in</w:t>
      </w:r>
      <w:r>
        <w:rPr>
          <w:spacing w:val="-1"/>
          <w:sz w:val="24"/>
        </w:rPr>
        <w:t> </w:t>
      </w:r>
      <w:r>
        <w:rPr>
          <w:spacing w:val="-2"/>
          <w:sz w:val="24"/>
        </w:rPr>
        <w:t>partnership</w:t>
      </w:r>
    </w:p>
    <w:p>
      <w:pPr>
        <w:pStyle w:val="BodyText"/>
        <w:spacing w:before="273"/>
        <w:ind w:left="1418" w:right="697"/>
      </w:pPr>
      <w:r>
        <w:rPr/>
        <w:t>CHF</w:t>
      </w:r>
      <w:r>
        <w:rPr>
          <w:spacing w:val="-5"/>
        </w:rPr>
        <w:t> </w:t>
      </w:r>
      <w:r>
        <w:rPr/>
        <w:t>member</w:t>
      </w:r>
      <w:r>
        <w:rPr>
          <w:spacing w:val="-4"/>
        </w:rPr>
        <w:t> </w:t>
      </w:r>
      <w:r>
        <w:rPr/>
        <w:t>organisations</w:t>
      </w:r>
      <w:r>
        <w:rPr>
          <w:spacing w:val="-4"/>
        </w:rPr>
        <w:t> </w:t>
      </w:r>
      <w:r>
        <w:rPr/>
        <w:t>reach</w:t>
      </w:r>
      <w:r>
        <w:rPr>
          <w:spacing w:val="-2"/>
        </w:rPr>
        <w:t> </w:t>
      </w:r>
      <w:r>
        <w:rPr/>
        <w:t>thousands</w:t>
      </w:r>
      <w:r>
        <w:rPr>
          <w:spacing w:val="-4"/>
        </w:rPr>
        <w:t> </w:t>
      </w:r>
      <w:r>
        <w:rPr/>
        <w:t>of</w:t>
      </w:r>
      <w:r>
        <w:rPr>
          <w:spacing w:val="-5"/>
        </w:rPr>
        <w:t> </w:t>
      </w:r>
      <w:r>
        <w:rPr/>
        <w:t>Australian</w:t>
      </w:r>
      <w:r>
        <w:rPr>
          <w:spacing w:val="-4"/>
        </w:rPr>
        <w:t> </w:t>
      </w:r>
      <w:r>
        <w:rPr/>
        <w:t>health</w:t>
      </w:r>
      <w:r>
        <w:rPr>
          <w:spacing w:val="-4"/>
        </w:rPr>
        <w:t> </w:t>
      </w:r>
      <w:r>
        <w:rPr/>
        <w:t>consumers</w:t>
      </w:r>
      <w:r>
        <w:rPr>
          <w:spacing w:val="-4"/>
        </w:rPr>
        <w:t> </w:t>
      </w:r>
      <w:r>
        <w:rPr/>
        <w:t>across</w:t>
      </w:r>
      <w:r>
        <w:rPr>
          <w:spacing w:val="-4"/>
        </w:rPr>
        <w:t> </w:t>
      </w:r>
      <w:r>
        <w:rPr/>
        <w:t>a</w:t>
      </w:r>
      <w:r>
        <w:rPr>
          <w:spacing w:val="-4"/>
        </w:rPr>
        <w:t> </w:t>
      </w:r>
      <w:r>
        <w:rPr/>
        <w:t>wide range</w:t>
      </w:r>
      <w:r>
        <w:rPr>
          <w:spacing w:val="-3"/>
        </w:rPr>
        <w:t> </w:t>
      </w:r>
      <w:r>
        <w:rPr/>
        <w:t>of</w:t>
      </w:r>
      <w:r>
        <w:rPr>
          <w:spacing w:val="-2"/>
        </w:rPr>
        <w:t> </w:t>
      </w:r>
      <w:r>
        <w:rPr/>
        <w:t>health</w:t>
      </w:r>
      <w:r>
        <w:rPr>
          <w:spacing w:val="-2"/>
        </w:rPr>
        <w:t> </w:t>
      </w:r>
      <w:r>
        <w:rPr/>
        <w:t>interests and</w:t>
      </w:r>
      <w:r>
        <w:rPr>
          <w:spacing w:val="-2"/>
        </w:rPr>
        <w:t> </w:t>
      </w:r>
      <w:r>
        <w:rPr/>
        <w:t>health</w:t>
      </w:r>
      <w:r>
        <w:rPr>
          <w:spacing w:val="-2"/>
        </w:rPr>
        <w:t> </w:t>
      </w:r>
      <w:r>
        <w:rPr/>
        <w:t>system</w:t>
      </w:r>
      <w:r>
        <w:rPr>
          <w:spacing w:val="-2"/>
        </w:rPr>
        <w:t> </w:t>
      </w:r>
      <w:r>
        <w:rPr/>
        <w:t>experiences.</w:t>
      </w:r>
      <w:r>
        <w:rPr>
          <w:spacing w:val="40"/>
        </w:rPr>
        <w:t> </w:t>
      </w:r>
      <w:r>
        <w:rPr/>
        <w:t>CHF</w:t>
      </w:r>
      <w:r>
        <w:rPr>
          <w:spacing w:val="-4"/>
        </w:rPr>
        <w:t> </w:t>
      </w:r>
      <w:r>
        <w:rPr/>
        <w:t>policy</w:t>
      </w:r>
      <w:r>
        <w:rPr>
          <w:spacing w:val="-7"/>
        </w:rPr>
        <w:t> </w:t>
      </w:r>
      <w:r>
        <w:rPr/>
        <w:t>is</w:t>
      </w:r>
      <w:r>
        <w:rPr>
          <w:spacing w:val="-2"/>
        </w:rPr>
        <w:t> </w:t>
      </w:r>
      <w:r>
        <w:rPr/>
        <w:t>developed</w:t>
      </w:r>
      <w:r>
        <w:rPr>
          <w:spacing w:val="-2"/>
        </w:rPr>
        <w:t> </w:t>
      </w:r>
      <w:r>
        <w:rPr/>
        <w:t>through consultation with members, ensuring that CHF maintains a broad, representative, health consumer perspective.</w:t>
      </w:r>
    </w:p>
    <w:p>
      <w:pPr>
        <w:pStyle w:val="BodyText"/>
      </w:pPr>
    </w:p>
    <w:p>
      <w:pPr>
        <w:pStyle w:val="BodyText"/>
        <w:ind w:left="1418" w:right="697"/>
      </w:pPr>
      <w:r>
        <w:rPr/>
        <w:t>CHF</w:t>
      </w:r>
      <w:r>
        <w:rPr>
          <w:spacing w:val="-5"/>
        </w:rPr>
        <w:t> </w:t>
      </w:r>
      <w:r>
        <w:rPr/>
        <w:t>is</w:t>
      </w:r>
      <w:r>
        <w:rPr>
          <w:spacing w:val="-3"/>
        </w:rPr>
        <w:t> </w:t>
      </w:r>
      <w:r>
        <w:rPr/>
        <w:t>committed</w:t>
      </w:r>
      <w:r>
        <w:rPr>
          <w:spacing w:val="-3"/>
        </w:rPr>
        <w:t> </w:t>
      </w:r>
      <w:r>
        <w:rPr/>
        <w:t>to</w:t>
      </w:r>
      <w:r>
        <w:rPr>
          <w:spacing w:val="-3"/>
        </w:rPr>
        <w:t> </w:t>
      </w:r>
      <w:r>
        <w:rPr/>
        <w:t>being</w:t>
      </w:r>
      <w:r>
        <w:rPr>
          <w:spacing w:val="-5"/>
        </w:rPr>
        <w:t> </w:t>
      </w:r>
      <w:r>
        <w:rPr/>
        <w:t>an</w:t>
      </w:r>
      <w:r>
        <w:rPr>
          <w:spacing w:val="-1"/>
        </w:rPr>
        <w:t> </w:t>
      </w:r>
      <w:r>
        <w:rPr/>
        <w:t>active</w:t>
      </w:r>
      <w:r>
        <w:rPr>
          <w:spacing w:val="-2"/>
        </w:rPr>
        <w:t> </w:t>
      </w:r>
      <w:r>
        <w:rPr/>
        <w:t>advocate</w:t>
      </w:r>
      <w:r>
        <w:rPr>
          <w:spacing w:val="-3"/>
        </w:rPr>
        <w:t> </w:t>
      </w:r>
      <w:r>
        <w:rPr/>
        <w:t>in</w:t>
      </w:r>
      <w:r>
        <w:rPr>
          <w:spacing w:val="-3"/>
        </w:rPr>
        <w:t> </w:t>
      </w:r>
      <w:r>
        <w:rPr/>
        <w:t>the</w:t>
      </w:r>
      <w:r>
        <w:rPr>
          <w:spacing w:val="-4"/>
        </w:rPr>
        <w:t> </w:t>
      </w:r>
      <w:r>
        <w:rPr/>
        <w:t>ongoing</w:t>
      </w:r>
      <w:r>
        <w:rPr>
          <w:spacing w:val="-6"/>
        </w:rPr>
        <w:t> </w:t>
      </w:r>
      <w:r>
        <w:rPr/>
        <w:t>development</w:t>
      </w:r>
      <w:r>
        <w:rPr>
          <w:spacing w:val="-1"/>
        </w:rPr>
        <w:t> </w:t>
      </w:r>
      <w:r>
        <w:rPr/>
        <w:t>of</w:t>
      </w:r>
      <w:r>
        <w:rPr>
          <w:spacing w:val="-4"/>
        </w:rPr>
        <w:t> </w:t>
      </w:r>
      <w:r>
        <w:rPr/>
        <w:t>Australian health policy and practice.</w:t>
      </w:r>
    </w:p>
    <w:sectPr>
      <w:headerReference w:type="default" r:id="rId10"/>
      <w:footerReference w:type="default" r:id="rId11"/>
      <w:pgSz w:w="11910" w:h="16840"/>
      <w:pgMar w:header="0" w:footer="1458" w:top="400" w:bottom="1640" w:left="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9504">
          <wp:simplePos x="0" y="0"/>
          <wp:positionH relativeFrom="page">
            <wp:posOffset>2821463</wp:posOffset>
          </wp:positionH>
          <wp:positionV relativeFrom="page">
            <wp:posOffset>9639388</wp:posOffset>
          </wp:positionV>
          <wp:extent cx="4702016" cy="73240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702016" cy="73240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0528">
          <wp:simplePos x="0" y="0"/>
          <wp:positionH relativeFrom="page">
            <wp:posOffset>2821463</wp:posOffset>
          </wp:positionH>
          <wp:positionV relativeFrom="page">
            <wp:posOffset>9639388</wp:posOffset>
          </wp:positionV>
          <wp:extent cx="4702016" cy="732408"/>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4702016" cy="732408"/>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1040">
          <wp:simplePos x="0" y="0"/>
          <wp:positionH relativeFrom="page">
            <wp:posOffset>2802413</wp:posOffset>
          </wp:positionH>
          <wp:positionV relativeFrom="page">
            <wp:posOffset>9639388</wp:posOffset>
          </wp:positionV>
          <wp:extent cx="4702016" cy="732408"/>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4702016" cy="732408"/>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0016">
          <wp:simplePos x="0" y="0"/>
          <wp:positionH relativeFrom="page">
            <wp:posOffset>0</wp:posOffset>
          </wp:positionH>
          <wp:positionV relativeFrom="page">
            <wp:posOffset>893444</wp:posOffset>
          </wp:positionV>
          <wp:extent cx="4787900" cy="2032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4787900" cy="20320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3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941" w:hanging="360"/>
      </w:pPr>
      <w:rPr>
        <w:rFonts w:hint="default"/>
        <w:lang w:val="en-US" w:eastAsia="en-US" w:bidi="ar-SA"/>
      </w:rPr>
    </w:lvl>
    <w:lvl w:ilvl="3">
      <w:start w:val="0"/>
      <w:numFmt w:val="bullet"/>
      <w:lvlText w:val="•"/>
      <w:lvlJc w:val="left"/>
      <w:pPr>
        <w:ind w:left="4841" w:hanging="360"/>
      </w:pPr>
      <w:rPr>
        <w:rFonts w:hint="default"/>
        <w:lang w:val="en-US" w:eastAsia="en-US" w:bidi="ar-SA"/>
      </w:rPr>
    </w:lvl>
    <w:lvl w:ilvl="4">
      <w:start w:val="0"/>
      <w:numFmt w:val="bullet"/>
      <w:lvlText w:val="•"/>
      <w:lvlJc w:val="left"/>
      <w:pPr>
        <w:ind w:left="5742" w:hanging="360"/>
      </w:pPr>
      <w:rPr>
        <w:rFonts w:hint="default"/>
        <w:lang w:val="en-US" w:eastAsia="en-US" w:bidi="ar-SA"/>
      </w:rPr>
    </w:lvl>
    <w:lvl w:ilvl="5">
      <w:start w:val="0"/>
      <w:numFmt w:val="bullet"/>
      <w:lvlText w:val="•"/>
      <w:lvlJc w:val="left"/>
      <w:pPr>
        <w:ind w:left="6643" w:hanging="360"/>
      </w:pPr>
      <w:rPr>
        <w:rFonts w:hint="default"/>
        <w:lang w:val="en-US" w:eastAsia="en-US" w:bidi="ar-SA"/>
      </w:rPr>
    </w:lvl>
    <w:lvl w:ilvl="6">
      <w:start w:val="0"/>
      <w:numFmt w:val="bullet"/>
      <w:lvlText w:val="•"/>
      <w:lvlJc w:val="left"/>
      <w:pPr>
        <w:ind w:left="7543" w:hanging="360"/>
      </w:pPr>
      <w:rPr>
        <w:rFonts w:hint="default"/>
        <w:lang w:val="en-US" w:eastAsia="en-US" w:bidi="ar-SA"/>
      </w:rPr>
    </w:lvl>
    <w:lvl w:ilvl="7">
      <w:start w:val="0"/>
      <w:numFmt w:val="bullet"/>
      <w:lvlText w:val="•"/>
      <w:lvlJc w:val="left"/>
      <w:pPr>
        <w:ind w:left="8444" w:hanging="360"/>
      </w:pPr>
      <w:rPr>
        <w:rFonts w:hint="default"/>
        <w:lang w:val="en-US" w:eastAsia="en-US" w:bidi="ar-SA"/>
      </w:rPr>
    </w:lvl>
    <w:lvl w:ilvl="8">
      <w:start w:val="0"/>
      <w:numFmt w:val="bullet"/>
      <w:lvlText w:val="•"/>
      <w:lvlJc w:val="left"/>
      <w:pPr>
        <w:ind w:left="9345" w:hanging="360"/>
      </w:pPr>
      <w:rPr>
        <w:rFonts w:hint="default"/>
        <w:lang w:val="en-US" w:eastAsia="en-US" w:bidi="ar-SA"/>
      </w:rPr>
    </w:lvl>
  </w:abstractNum>
  <w:abstractNum w:abstractNumId="0">
    <w:multiLevelType w:val="hybridMultilevel"/>
    <w:lvl w:ilvl="0">
      <w:start w:val="0"/>
      <w:numFmt w:val="bullet"/>
      <w:lvlText w:val=""/>
      <w:lvlJc w:val="left"/>
      <w:pPr>
        <w:ind w:left="213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040" w:hanging="360"/>
      </w:pPr>
      <w:rPr>
        <w:rFonts w:hint="default"/>
        <w:lang w:val="en-US" w:eastAsia="en-US" w:bidi="ar-SA"/>
      </w:rPr>
    </w:lvl>
    <w:lvl w:ilvl="2">
      <w:start w:val="0"/>
      <w:numFmt w:val="bullet"/>
      <w:lvlText w:val="•"/>
      <w:lvlJc w:val="left"/>
      <w:pPr>
        <w:ind w:left="3941" w:hanging="360"/>
      </w:pPr>
      <w:rPr>
        <w:rFonts w:hint="default"/>
        <w:lang w:val="en-US" w:eastAsia="en-US" w:bidi="ar-SA"/>
      </w:rPr>
    </w:lvl>
    <w:lvl w:ilvl="3">
      <w:start w:val="0"/>
      <w:numFmt w:val="bullet"/>
      <w:lvlText w:val="•"/>
      <w:lvlJc w:val="left"/>
      <w:pPr>
        <w:ind w:left="4841" w:hanging="360"/>
      </w:pPr>
      <w:rPr>
        <w:rFonts w:hint="default"/>
        <w:lang w:val="en-US" w:eastAsia="en-US" w:bidi="ar-SA"/>
      </w:rPr>
    </w:lvl>
    <w:lvl w:ilvl="4">
      <w:start w:val="0"/>
      <w:numFmt w:val="bullet"/>
      <w:lvlText w:val="•"/>
      <w:lvlJc w:val="left"/>
      <w:pPr>
        <w:ind w:left="5742" w:hanging="360"/>
      </w:pPr>
      <w:rPr>
        <w:rFonts w:hint="default"/>
        <w:lang w:val="en-US" w:eastAsia="en-US" w:bidi="ar-SA"/>
      </w:rPr>
    </w:lvl>
    <w:lvl w:ilvl="5">
      <w:start w:val="0"/>
      <w:numFmt w:val="bullet"/>
      <w:lvlText w:val="•"/>
      <w:lvlJc w:val="left"/>
      <w:pPr>
        <w:ind w:left="6643" w:hanging="360"/>
      </w:pPr>
      <w:rPr>
        <w:rFonts w:hint="default"/>
        <w:lang w:val="en-US" w:eastAsia="en-US" w:bidi="ar-SA"/>
      </w:rPr>
    </w:lvl>
    <w:lvl w:ilvl="6">
      <w:start w:val="0"/>
      <w:numFmt w:val="bullet"/>
      <w:lvlText w:val="•"/>
      <w:lvlJc w:val="left"/>
      <w:pPr>
        <w:ind w:left="7543" w:hanging="360"/>
      </w:pPr>
      <w:rPr>
        <w:rFonts w:hint="default"/>
        <w:lang w:val="en-US" w:eastAsia="en-US" w:bidi="ar-SA"/>
      </w:rPr>
    </w:lvl>
    <w:lvl w:ilvl="7">
      <w:start w:val="0"/>
      <w:numFmt w:val="bullet"/>
      <w:lvlText w:val="•"/>
      <w:lvlJc w:val="left"/>
      <w:pPr>
        <w:ind w:left="8444" w:hanging="360"/>
      </w:pPr>
      <w:rPr>
        <w:rFonts w:hint="default"/>
        <w:lang w:val="en-US" w:eastAsia="en-US" w:bidi="ar-SA"/>
      </w:rPr>
    </w:lvl>
    <w:lvl w:ilvl="8">
      <w:start w:val="0"/>
      <w:numFmt w:val="bullet"/>
      <w:lvlText w:val="•"/>
      <w:lvlJc w:val="left"/>
      <w:pPr>
        <w:ind w:left="934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18"/>
      <w:outlineLvl w:val="1"/>
    </w:pPr>
    <w:rPr>
      <w:rFonts w:ascii="Arial" w:hAnsi="Arial" w:eastAsia="Arial" w:cs="Arial"/>
      <w:b/>
      <w:bCs/>
      <w:sz w:val="28"/>
      <w:szCs w:val="28"/>
      <w:lang w:val="en-US" w:eastAsia="en-US" w:bidi="ar-SA"/>
    </w:rPr>
  </w:style>
  <w:style w:styleId="Title" w:type="paragraph">
    <w:name w:val="Title"/>
    <w:basedOn w:val="Normal"/>
    <w:uiPriority w:val="1"/>
    <w:qFormat/>
    <w:pPr>
      <w:spacing w:before="526"/>
      <w:ind w:left="1418"/>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213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Moore</dc:creator>
  <dc:title>Fact Sheet</dc:title>
  <dcterms:created xsi:type="dcterms:W3CDTF">2025-01-24T02:09:42Z</dcterms:created>
  <dcterms:modified xsi:type="dcterms:W3CDTF">2025-01-24T02:09:42Z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Creator">
    <vt:lpwstr>Microsoft® Word 2010</vt:lpwstr>
  </property>
  <property fmtid="{D5CDD505-2E9C-101B-9397-08002B2CF9AE}" pid="4" name="LastSaved">
    <vt:filetime>2025-01-24T00:00:00Z</vt:filetime>
  </property>
  <property fmtid="{D5CDD505-2E9C-101B-9397-08002B2CF9AE}" pid="5" name="Producer">
    <vt:lpwstr>Microsoft® Word 2010</vt:lpwstr>
  </property>
</Properties>
</file>