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07E7A" w14:textId="2199B4DF" w:rsidR="00C31F47" w:rsidRPr="00C31F47" w:rsidRDefault="00565655" w:rsidP="003D4BA8">
      <w:pPr>
        <w:spacing w:before="240"/>
        <w:jc w:val="center"/>
        <w:rPr>
          <w:b/>
          <w:bCs/>
          <w:sz w:val="28"/>
          <w:szCs w:val="28"/>
        </w:rPr>
      </w:pPr>
      <w:r w:rsidRPr="003D4BA8">
        <w:rPr>
          <w:rFonts w:ascii="Roboto Light" w:hAnsi="Roboto Light"/>
          <w:b/>
          <w:bCs/>
          <w:noProof/>
          <w:color w:val="70AD47" w:themeColor="accent6"/>
          <w:sz w:val="28"/>
          <w:szCs w:val="28"/>
        </w:rPr>
        <w:drawing>
          <wp:anchor distT="0" distB="0" distL="114300" distR="114300" simplePos="0" relativeHeight="251658240" behindDoc="0" locked="0" layoutInCell="1" allowOverlap="1" wp14:anchorId="578BD044" wp14:editId="7A0A7DDF">
            <wp:simplePos x="0" y="0"/>
            <wp:positionH relativeFrom="margin">
              <wp:posOffset>1362075</wp:posOffset>
            </wp:positionH>
            <wp:positionV relativeFrom="paragraph">
              <wp:posOffset>-478790</wp:posOffset>
            </wp:positionV>
            <wp:extent cx="3007587" cy="600075"/>
            <wp:effectExtent l="0" t="0" r="0" b="0"/>
            <wp:wrapNone/>
            <wp:docPr id="72761417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a:extLst>
                        <a:ext uri="{28A0092B-C50C-407E-A947-70E740481C1C}">
                          <a14:useLocalDpi xmlns:a14="http://schemas.microsoft.com/office/drawing/2010/main" val="0"/>
                        </a:ext>
                      </a:extLst>
                    </a:blip>
                    <a:stretch>
                      <a:fillRect/>
                    </a:stretch>
                  </pic:blipFill>
                  <pic:spPr bwMode="auto">
                    <a:xfrm>
                      <a:off x="0" y="0"/>
                      <a:ext cx="3007587"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31F47" w:rsidRPr="003D4BA8">
        <w:rPr>
          <w:rFonts w:ascii="Roboto Light" w:hAnsi="Roboto Light"/>
          <w:b/>
          <w:bCs/>
          <w:color w:val="70AD47" w:themeColor="accent6"/>
          <w:sz w:val="28"/>
          <w:szCs w:val="28"/>
        </w:rPr>
        <w:t xml:space="preserve">COVID-19 Vaccine </w:t>
      </w:r>
      <w:r w:rsidR="4BF7E18D" w:rsidRPr="003D4BA8">
        <w:rPr>
          <w:rFonts w:ascii="Roboto Light" w:hAnsi="Roboto Light"/>
          <w:b/>
          <w:bCs/>
          <w:color w:val="70AD47" w:themeColor="accent6"/>
          <w:sz w:val="28"/>
          <w:szCs w:val="28"/>
        </w:rPr>
        <w:t>Roll</w:t>
      </w:r>
      <w:r w:rsidR="00C33DAD" w:rsidRPr="29B2AB43">
        <w:rPr>
          <w:rFonts w:ascii="Roboto Light" w:hAnsi="Roboto Light"/>
          <w:b/>
          <w:bCs/>
          <w:color w:val="70AD47" w:themeColor="accent6"/>
          <w:sz w:val="28"/>
          <w:szCs w:val="28"/>
        </w:rPr>
        <w:t>o</w:t>
      </w:r>
      <w:r w:rsidR="00C31F47" w:rsidRPr="003D4BA8">
        <w:rPr>
          <w:rFonts w:ascii="Roboto Light" w:hAnsi="Roboto Light"/>
          <w:b/>
          <w:bCs/>
          <w:color w:val="70AD47" w:themeColor="accent6"/>
          <w:sz w:val="28"/>
          <w:szCs w:val="28"/>
        </w:rPr>
        <w:t>ut: CHF Position Statement</w:t>
      </w:r>
    </w:p>
    <w:p w14:paraId="7A473185" w14:textId="1D988950" w:rsidR="00C31F47" w:rsidRPr="003D4BA8" w:rsidRDefault="00C31F47" w:rsidP="00C31F47">
      <w:pPr>
        <w:jc w:val="center"/>
        <w:rPr>
          <w:b/>
          <w:bCs/>
          <w:i/>
          <w:iCs/>
          <w:sz w:val="24"/>
          <w:szCs w:val="24"/>
        </w:rPr>
      </w:pPr>
      <w:r w:rsidRPr="003D4BA8">
        <w:rPr>
          <w:rFonts w:ascii="Roboto Light" w:hAnsi="Roboto Light"/>
          <w:b/>
          <w:bCs/>
          <w:i/>
          <w:iCs/>
          <w:color w:val="70AD47" w:themeColor="accent6"/>
        </w:rPr>
        <w:t>January 2021</w:t>
      </w:r>
    </w:p>
    <w:p w14:paraId="03183ABC" w14:textId="31663535" w:rsidR="00FB64CD" w:rsidRDefault="00DA75B6" w:rsidP="00A52A82">
      <w:pPr>
        <w:spacing w:after="0"/>
      </w:pPr>
      <w:r w:rsidRPr="00F31632">
        <w:t>The COVID-19 pandemic has presented a broad range of challenges</w:t>
      </w:r>
      <w:r w:rsidR="007652D9">
        <w:t xml:space="preserve"> for the Australian community</w:t>
      </w:r>
      <w:r w:rsidRPr="00F31632">
        <w:t xml:space="preserve">. In May 2020, CHF released a position statement titled </w:t>
      </w:r>
      <w:hyperlink r:id="rId12" w:history="1">
        <w:r w:rsidRPr="00F31632">
          <w:rPr>
            <w:rStyle w:val="Hyperlink"/>
            <w:i/>
            <w:iCs/>
          </w:rPr>
          <w:t>Ethical Issues Arising from the COVID-19 Pandemic</w:t>
        </w:r>
      </w:hyperlink>
      <w:r w:rsidR="00183559" w:rsidRPr="00F31632">
        <w:rPr>
          <w:rStyle w:val="FootnoteReference"/>
          <w:i/>
          <w:iCs/>
        </w:rPr>
        <w:footnoteReference w:id="2"/>
      </w:r>
      <w:r w:rsidRPr="00F31632">
        <w:t xml:space="preserve"> which outlined the key elements of an ethical decision-making process and the pathway to recovery from a consumer perspective.</w:t>
      </w:r>
      <w:r w:rsidR="00E3188A">
        <w:t xml:space="preserve"> </w:t>
      </w:r>
      <w:r w:rsidRPr="00F31632">
        <w:t xml:space="preserve">The rollout of COVID-19 vaccines is a significant step in the recovery journey and many of the same principles must be applied to this process. </w:t>
      </w:r>
    </w:p>
    <w:p w14:paraId="2236FC1F" w14:textId="77777777" w:rsidR="00FB64CD" w:rsidRDefault="00FB64CD" w:rsidP="00A52A82">
      <w:pPr>
        <w:spacing w:after="0"/>
      </w:pPr>
    </w:p>
    <w:p w14:paraId="2FCAFD25" w14:textId="6FCF1C15" w:rsidR="004702CC" w:rsidRDefault="00FB64CD" w:rsidP="00A52A82">
      <w:pPr>
        <w:spacing w:after="0"/>
      </w:pPr>
      <w:r>
        <w:rPr>
          <w:noProof/>
        </w:rPr>
        <mc:AlternateContent>
          <mc:Choice Requires="wps">
            <w:drawing>
              <wp:anchor distT="45720" distB="45720" distL="114300" distR="114300" simplePos="0" relativeHeight="251658241" behindDoc="0" locked="0" layoutInCell="1" allowOverlap="1" wp14:anchorId="63764DEB" wp14:editId="327E092B">
                <wp:simplePos x="0" y="0"/>
                <wp:positionH relativeFrom="margin">
                  <wp:align>right</wp:align>
                </wp:positionH>
                <wp:positionV relativeFrom="paragraph">
                  <wp:posOffset>1043940</wp:posOffset>
                </wp:positionV>
                <wp:extent cx="5705475" cy="1200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00150"/>
                        </a:xfrm>
                        <a:prstGeom prst="rect">
                          <a:avLst/>
                        </a:prstGeom>
                        <a:solidFill>
                          <a:schemeClr val="accent6">
                            <a:lumMod val="20000"/>
                            <a:lumOff val="80000"/>
                          </a:schemeClr>
                        </a:solidFill>
                        <a:ln w="9525">
                          <a:solidFill>
                            <a:srgbClr val="000000"/>
                          </a:solidFill>
                          <a:miter lim="800000"/>
                          <a:headEnd/>
                          <a:tailEnd/>
                        </a:ln>
                      </wps:spPr>
                      <wps:txbx>
                        <w:txbxContent>
                          <w:p w14:paraId="1DAA06FA" w14:textId="0A684855" w:rsidR="00A52A82" w:rsidRDefault="00A52A82" w:rsidP="00A52A82">
                            <w:pPr>
                              <w:rPr>
                                <w:b/>
                                <w:bCs/>
                                <w:i/>
                                <w:iCs/>
                              </w:rPr>
                            </w:pPr>
                            <w:r>
                              <w:rPr>
                                <w:b/>
                                <w:bCs/>
                                <w:i/>
                                <w:iCs/>
                              </w:rPr>
                              <w:t>CHF calls for the Australian government</w:t>
                            </w:r>
                            <w:r w:rsidR="00FF028E">
                              <w:rPr>
                                <w:b/>
                                <w:bCs/>
                                <w:i/>
                                <w:iCs/>
                              </w:rPr>
                              <w:t>, working collaboratively with state and territory governments,</w:t>
                            </w:r>
                            <w:r>
                              <w:rPr>
                                <w:b/>
                                <w:bCs/>
                                <w:i/>
                                <w:iCs/>
                              </w:rPr>
                              <w:t xml:space="preserve"> to provide timely access to safe and effective COVID-19 vaccines for all Australian residents at no cost to the consumer. Noting that evidence about different vaccines is continuing to emerge</w:t>
                            </w:r>
                            <w:r w:rsidR="00D9614A">
                              <w:rPr>
                                <w:b/>
                                <w:bCs/>
                                <w:i/>
                                <w:iCs/>
                              </w:rPr>
                              <w:t>,</w:t>
                            </w:r>
                            <w:r>
                              <w:rPr>
                                <w:b/>
                                <w:bCs/>
                                <w:i/>
                                <w:iCs/>
                              </w:rPr>
                              <w:t xml:space="preserve"> the Australian Government should </w:t>
                            </w:r>
                            <w:r w:rsidR="0030303C">
                              <w:rPr>
                                <w:b/>
                                <w:bCs/>
                                <w:i/>
                                <w:iCs/>
                              </w:rPr>
                              <w:t xml:space="preserve">continue to </w:t>
                            </w:r>
                            <w:r>
                              <w:rPr>
                                <w:b/>
                                <w:bCs/>
                                <w:i/>
                                <w:iCs/>
                              </w:rPr>
                              <w:t xml:space="preserve">proactively assess and source </w:t>
                            </w:r>
                            <w:r w:rsidR="00137C1A">
                              <w:rPr>
                                <w:b/>
                                <w:bCs/>
                                <w:i/>
                                <w:iCs/>
                              </w:rPr>
                              <w:t xml:space="preserve">new </w:t>
                            </w:r>
                            <w:r w:rsidR="00FB64CD">
                              <w:rPr>
                                <w:b/>
                                <w:bCs/>
                                <w:i/>
                                <w:iCs/>
                              </w:rPr>
                              <w:t xml:space="preserve">COVID-19 </w:t>
                            </w:r>
                            <w:r>
                              <w:rPr>
                                <w:b/>
                                <w:bCs/>
                                <w:i/>
                                <w:iCs/>
                              </w:rPr>
                              <w:t xml:space="preserve">vaccines </w:t>
                            </w:r>
                            <w:r w:rsidR="00137C1A">
                              <w:rPr>
                                <w:b/>
                                <w:bCs/>
                                <w:i/>
                                <w:iCs/>
                              </w:rPr>
                              <w:t xml:space="preserve">as and when appropriate </w:t>
                            </w:r>
                            <w:r>
                              <w:rPr>
                                <w:b/>
                                <w:bCs/>
                                <w:i/>
                                <w:iCs/>
                              </w:rPr>
                              <w:t>to best protect the Australian community</w:t>
                            </w:r>
                            <w:r w:rsidR="00A8716F">
                              <w:rPr>
                                <w:b/>
                                <w:bCs/>
                                <w:i/>
                                <w:iCs/>
                              </w:rPr>
                              <w:t xml:space="preserve"> from </w:t>
                            </w:r>
                            <w:r w:rsidR="00CD0ACA">
                              <w:rPr>
                                <w:b/>
                                <w:bCs/>
                                <w:i/>
                                <w:iCs/>
                              </w:rPr>
                              <w:t xml:space="preserve">the </w:t>
                            </w:r>
                            <w:r w:rsidR="00A8716F">
                              <w:rPr>
                                <w:b/>
                                <w:bCs/>
                                <w:i/>
                                <w:iCs/>
                              </w:rPr>
                              <w:t>COVID-1</w:t>
                            </w:r>
                            <w:r w:rsidR="00CD0ACA">
                              <w:rPr>
                                <w:b/>
                                <w:bCs/>
                                <w:i/>
                                <w:iCs/>
                              </w:rPr>
                              <w:t>9 pandemic</w:t>
                            </w:r>
                            <w:r>
                              <w:rPr>
                                <w:b/>
                                <w:bCs/>
                                <w:i/>
                                <w:iCs/>
                              </w:rPr>
                              <w:t>.</w:t>
                            </w:r>
                          </w:p>
                          <w:p w14:paraId="10D89988" w14:textId="4BDC8AA7" w:rsidR="00A52A82" w:rsidRDefault="00A52A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764DEB" id="_x0000_t202" coordsize="21600,21600" o:spt="202" path="m,l,21600r21600,l21600,xe">
                <v:stroke joinstyle="miter"/>
                <v:path gradientshapeok="t" o:connecttype="rect"/>
              </v:shapetype>
              <v:shape id="Text Box 2" o:spid="_x0000_s1026" type="#_x0000_t202" style="position:absolute;margin-left:398.05pt;margin-top:82.2pt;width:449.25pt;height:94.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" fillcolor="#e2efd9 [665]">
                <v:textbox>
                  <w:txbxContent>
                    <w:p w14:paraId="1DAA06FA" w14:textId="0A684855" w:rsidR="00A52A82" w:rsidRDefault="00A52A82" w:rsidP="00A52A82">
                      <w:pPr>
                        <w:rPr>
                          <w:b/>
                          <w:bCs/>
                          <w:i/>
                          <w:iCs/>
                        </w:rPr>
                      </w:pPr>
                      <w:r>
                        <w:rPr>
                          <w:b/>
                          <w:bCs/>
                          <w:i/>
                          <w:iCs/>
                        </w:rPr>
                        <w:t>CHF calls for the Australian government</w:t>
                      </w:r>
                      <w:r w:rsidR="00FF028E">
                        <w:rPr>
                          <w:b/>
                          <w:bCs/>
                          <w:i/>
                          <w:iCs/>
                        </w:rPr>
                        <w:t>, working collaboratively with state and territory governments,</w:t>
                      </w:r>
                      <w:r>
                        <w:rPr>
                          <w:b/>
                          <w:bCs/>
                          <w:i/>
                          <w:iCs/>
                        </w:rPr>
                        <w:t xml:space="preserve"> to provide timely access to safe and effective COVID-19 vaccines for all Australian residents at no cost to the consumer. Noting that evidence about different vaccines is continuing to emerge</w:t>
                      </w:r>
                      <w:r w:rsidR="00D9614A">
                        <w:rPr>
                          <w:b/>
                          <w:bCs/>
                          <w:i/>
                          <w:iCs/>
                        </w:rPr>
                        <w:t>,</w:t>
                      </w:r>
                      <w:r>
                        <w:rPr>
                          <w:b/>
                          <w:bCs/>
                          <w:i/>
                          <w:iCs/>
                        </w:rPr>
                        <w:t xml:space="preserve"> the Australian Government should </w:t>
                      </w:r>
                      <w:r w:rsidR="0030303C">
                        <w:rPr>
                          <w:b/>
                          <w:bCs/>
                          <w:i/>
                          <w:iCs/>
                        </w:rPr>
                        <w:t xml:space="preserve">continue to </w:t>
                      </w:r>
                      <w:r>
                        <w:rPr>
                          <w:b/>
                          <w:bCs/>
                          <w:i/>
                          <w:iCs/>
                        </w:rPr>
                        <w:t xml:space="preserve">proactively assess and source </w:t>
                      </w:r>
                      <w:r w:rsidR="00137C1A">
                        <w:rPr>
                          <w:b/>
                          <w:bCs/>
                          <w:i/>
                          <w:iCs/>
                        </w:rPr>
                        <w:t xml:space="preserve">new </w:t>
                      </w:r>
                      <w:r w:rsidR="00FB64CD">
                        <w:rPr>
                          <w:b/>
                          <w:bCs/>
                          <w:i/>
                          <w:iCs/>
                        </w:rPr>
                        <w:t xml:space="preserve">COVID-19 </w:t>
                      </w:r>
                      <w:r>
                        <w:rPr>
                          <w:b/>
                          <w:bCs/>
                          <w:i/>
                          <w:iCs/>
                        </w:rPr>
                        <w:t xml:space="preserve">vaccines </w:t>
                      </w:r>
                      <w:r w:rsidR="00137C1A">
                        <w:rPr>
                          <w:b/>
                          <w:bCs/>
                          <w:i/>
                          <w:iCs/>
                        </w:rPr>
                        <w:t xml:space="preserve">as and when appropriate </w:t>
                      </w:r>
                      <w:r>
                        <w:rPr>
                          <w:b/>
                          <w:bCs/>
                          <w:i/>
                          <w:iCs/>
                        </w:rPr>
                        <w:t>to best protect the Australian community</w:t>
                      </w:r>
                      <w:r w:rsidR="00A8716F">
                        <w:rPr>
                          <w:b/>
                          <w:bCs/>
                          <w:i/>
                          <w:iCs/>
                        </w:rPr>
                        <w:t xml:space="preserve"> from </w:t>
                      </w:r>
                      <w:r w:rsidR="00CD0ACA">
                        <w:rPr>
                          <w:b/>
                          <w:bCs/>
                          <w:i/>
                          <w:iCs/>
                        </w:rPr>
                        <w:t xml:space="preserve">the </w:t>
                      </w:r>
                      <w:r w:rsidR="00A8716F">
                        <w:rPr>
                          <w:b/>
                          <w:bCs/>
                          <w:i/>
                          <w:iCs/>
                        </w:rPr>
                        <w:t>COVID-1</w:t>
                      </w:r>
                      <w:r w:rsidR="00CD0ACA">
                        <w:rPr>
                          <w:b/>
                          <w:bCs/>
                          <w:i/>
                          <w:iCs/>
                        </w:rPr>
                        <w:t>9 pandemic</w:t>
                      </w:r>
                      <w:r>
                        <w:rPr>
                          <w:b/>
                          <w:bCs/>
                          <w:i/>
                          <w:iCs/>
                        </w:rPr>
                        <w:t>.</w:t>
                      </w:r>
                    </w:p>
                    <w:p w14:paraId="10D89988" w14:textId="4BDC8AA7" w:rsidR="00A52A82" w:rsidRDefault="00A52A82"/>
                  </w:txbxContent>
                </v:textbox>
                <w10:wrap type="square" anchorx="margin"/>
              </v:shape>
            </w:pict>
          </mc:Fallback>
        </mc:AlternateContent>
      </w:r>
      <w:r w:rsidR="00550A52">
        <w:t xml:space="preserve">With the release of </w:t>
      </w:r>
      <w:hyperlink r:id="rId13" w:history="1">
        <w:r w:rsidR="002D1CBE" w:rsidRPr="002D1CBE">
          <w:rPr>
            <w:rStyle w:val="Hyperlink"/>
            <w:i/>
            <w:iCs/>
          </w:rPr>
          <w:t>Australia's COVID-19 vaccine national roll-out strategy</w:t>
        </w:r>
      </w:hyperlink>
      <w:r w:rsidR="002D1CBE">
        <w:t xml:space="preserve"> </w:t>
      </w:r>
      <w:r w:rsidR="00550A52">
        <w:t>on 7 January 2021, details of how the rollout will occur are starting to emerge.</w:t>
      </w:r>
      <w:r w:rsidR="008A742F">
        <w:t xml:space="preserve"> </w:t>
      </w:r>
      <w:r w:rsidR="00DA75B6" w:rsidRPr="00F31632">
        <w:t>This position statement outlines the key considerations from a consumer perspective that need to be incorporated into the planning processes for vaccine distribution.</w:t>
      </w:r>
      <w:r w:rsidR="1374659A" w:rsidRPr="00F31632">
        <w:t xml:space="preserve"> CHF has consulted interested parties from our member organisations and special interest groups in developing this statement. </w:t>
      </w:r>
    </w:p>
    <w:p w14:paraId="34F619DC" w14:textId="4FEE065F" w:rsidR="00A52A82" w:rsidRPr="00A52A82" w:rsidRDefault="00A52A82" w:rsidP="00A52A82">
      <w:pPr>
        <w:spacing w:after="0"/>
        <w:rPr>
          <w:b/>
          <w:bCs/>
          <w:sz w:val="16"/>
          <w:szCs w:val="16"/>
        </w:rPr>
      </w:pPr>
    </w:p>
    <w:p w14:paraId="49E9CE56" w14:textId="6068F118" w:rsidR="00DA75B6" w:rsidRPr="00F31632" w:rsidRDefault="00DA75B6" w:rsidP="00C31F47">
      <w:pPr>
        <w:rPr>
          <w:b/>
          <w:bCs/>
        </w:rPr>
      </w:pPr>
      <w:r w:rsidRPr="00F31632">
        <w:rPr>
          <w:b/>
          <w:bCs/>
        </w:rPr>
        <w:t>PRINCIPLES</w:t>
      </w:r>
    </w:p>
    <w:p w14:paraId="74A5F64D" w14:textId="26085F4F" w:rsidR="006B2366" w:rsidRPr="00F31632" w:rsidRDefault="006B2366" w:rsidP="00C31F47">
      <w:r w:rsidRPr="00F31632">
        <w:t xml:space="preserve">From the consumer perspective, the following principles should form the basis of </w:t>
      </w:r>
      <w:r w:rsidR="00521524" w:rsidRPr="00F31632">
        <w:t xml:space="preserve">a decision-making framework for the </w:t>
      </w:r>
      <w:r w:rsidR="00B36D84" w:rsidRPr="00F31632">
        <w:t>equitable distribution of a COVID-19 vaccine across the Australian population:</w:t>
      </w:r>
    </w:p>
    <w:p w14:paraId="5A0F3695" w14:textId="2D45E980" w:rsidR="00E11DF1" w:rsidRPr="00F31632" w:rsidRDefault="005A33EA" w:rsidP="004454DD">
      <w:pPr>
        <w:pStyle w:val="ListParagraph"/>
        <w:numPr>
          <w:ilvl w:val="0"/>
          <w:numId w:val="1"/>
        </w:numPr>
      </w:pPr>
      <w:r w:rsidRPr="00F31632">
        <w:rPr>
          <w:b/>
          <w:bCs/>
        </w:rPr>
        <w:t xml:space="preserve">Fairness: </w:t>
      </w:r>
      <w:r w:rsidR="00FC5DEB" w:rsidRPr="00F31632">
        <w:t>Australians have a fundamental right to healthcare and principles of fairness, justice</w:t>
      </w:r>
      <w:r w:rsidR="00556ED7" w:rsidRPr="00F31632">
        <w:t xml:space="preserve">, reasonableness, </w:t>
      </w:r>
      <w:proofErr w:type="gramStart"/>
      <w:r w:rsidR="00556ED7" w:rsidRPr="00F31632">
        <w:t>accountability</w:t>
      </w:r>
      <w:proofErr w:type="gramEnd"/>
      <w:r w:rsidR="00FC5DEB" w:rsidRPr="00F31632">
        <w:t xml:space="preserve"> and transparency must apply even when resources are scarce.</w:t>
      </w:r>
    </w:p>
    <w:p w14:paraId="76FACC5E" w14:textId="0AA06445" w:rsidR="00DA75B6" w:rsidRPr="00F31632" w:rsidRDefault="002B7D05" w:rsidP="004454DD">
      <w:pPr>
        <w:pStyle w:val="ListParagraph"/>
        <w:numPr>
          <w:ilvl w:val="0"/>
          <w:numId w:val="1"/>
        </w:numPr>
      </w:pPr>
      <w:r w:rsidRPr="00F31632">
        <w:rPr>
          <w:b/>
          <w:bCs/>
        </w:rPr>
        <w:t>Access</w:t>
      </w:r>
      <w:r w:rsidR="001B7161" w:rsidRPr="00F31632">
        <w:rPr>
          <w:b/>
          <w:bCs/>
        </w:rPr>
        <w:t>ibility</w:t>
      </w:r>
      <w:r w:rsidRPr="00F31632">
        <w:rPr>
          <w:b/>
          <w:bCs/>
        </w:rPr>
        <w:t xml:space="preserve">: </w:t>
      </w:r>
      <w:r w:rsidR="009A60E4" w:rsidRPr="00F31632">
        <w:t>COVID-19 vaccine</w:t>
      </w:r>
      <w:r w:rsidR="00C21BE8">
        <w:t>s</w:t>
      </w:r>
      <w:r w:rsidR="009A60E4" w:rsidRPr="00F31632">
        <w:t xml:space="preserve"> should be made </w:t>
      </w:r>
      <w:r w:rsidR="006B2304">
        <w:t xml:space="preserve">easily </w:t>
      </w:r>
      <w:r w:rsidR="00914D5F" w:rsidRPr="00F31632">
        <w:t xml:space="preserve">accessible to all Australian residents at </w:t>
      </w:r>
      <w:r w:rsidR="0099619F">
        <w:t xml:space="preserve">convenient services and locations, at </w:t>
      </w:r>
      <w:r w:rsidR="00914D5F" w:rsidRPr="00F31632">
        <w:t>no cost and on a voluntary basis.</w:t>
      </w:r>
      <w:r w:rsidR="006B2304">
        <w:t xml:space="preserve"> </w:t>
      </w:r>
      <w:r w:rsidR="00DF52CD">
        <w:t xml:space="preserve">We recognise that not all </w:t>
      </w:r>
      <w:r w:rsidR="00664E48">
        <w:t>versions of the COVID-19 vaccine will be available to all consumers, but all consumers should have access to a vaccine that meets appropriate safety and efficacy standards through the national rollout program.</w:t>
      </w:r>
    </w:p>
    <w:p w14:paraId="036FB2CE" w14:textId="1900644A" w:rsidR="00806D23" w:rsidRPr="00806D23" w:rsidRDefault="00806D23" w:rsidP="004454DD">
      <w:pPr>
        <w:pStyle w:val="ListParagraph"/>
        <w:numPr>
          <w:ilvl w:val="0"/>
          <w:numId w:val="1"/>
        </w:numPr>
        <w:rPr>
          <w:b/>
          <w:bCs/>
        </w:rPr>
      </w:pPr>
      <w:r w:rsidRPr="00806D23">
        <w:rPr>
          <w:b/>
          <w:bCs/>
        </w:rPr>
        <w:t>Quality:</w:t>
      </w:r>
      <w:r w:rsidR="00892CCA">
        <w:t xml:space="preserve"> </w:t>
      </w:r>
      <w:r w:rsidR="002A03C1">
        <w:t xml:space="preserve">Consumers should have access to COVID-19 vaccines that are </w:t>
      </w:r>
      <w:r w:rsidR="000A1B77">
        <w:t xml:space="preserve">both </w:t>
      </w:r>
      <w:r w:rsidR="002A03C1">
        <w:t>safe</w:t>
      </w:r>
      <w:r w:rsidR="000A1B77">
        <w:t xml:space="preserve"> and</w:t>
      </w:r>
      <w:r w:rsidR="002A03C1">
        <w:t xml:space="preserve"> effective</w:t>
      </w:r>
      <w:r w:rsidR="000A1B77">
        <w:t xml:space="preserve"> in a timely manner.</w:t>
      </w:r>
      <w:r w:rsidR="002A03C1">
        <w:t xml:space="preserve"> </w:t>
      </w:r>
      <w:r w:rsidR="00892CCA">
        <w:t>The production, distribution and administration of a</w:t>
      </w:r>
      <w:r w:rsidR="00105173">
        <w:t>ll</w:t>
      </w:r>
      <w:r w:rsidR="00892CCA">
        <w:t xml:space="preserve"> vaccines </w:t>
      </w:r>
      <w:r w:rsidR="00105173">
        <w:t xml:space="preserve">should ensure best practice in terms of </w:t>
      </w:r>
      <w:r w:rsidR="001924B4">
        <w:t xml:space="preserve">training, use of equipment, disposal, </w:t>
      </w:r>
      <w:r w:rsidR="004F6F1C">
        <w:t>data collection and provision of information to consumers.</w:t>
      </w:r>
      <w:r w:rsidR="009D53FD">
        <w:t xml:space="preserve"> </w:t>
      </w:r>
      <w:r w:rsidR="00F75D0A">
        <w:t>It will also be critical to undertake an e</w:t>
      </w:r>
      <w:r w:rsidR="009D53FD">
        <w:t xml:space="preserve">valuation of the vaccine rollout and how </w:t>
      </w:r>
      <w:r w:rsidR="00F75D0A">
        <w:t>consumer behaviour changes as a result.</w:t>
      </w:r>
    </w:p>
    <w:p w14:paraId="4F449AE0" w14:textId="3100B6C0" w:rsidR="00914D5F" w:rsidRPr="00F31632" w:rsidRDefault="002B7D05" w:rsidP="004454DD">
      <w:pPr>
        <w:pStyle w:val="ListParagraph"/>
        <w:numPr>
          <w:ilvl w:val="0"/>
          <w:numId w:val="1"/>
        </w:numPr>
      </w:pPr>
      <w:r w:rsidRPr="00F31632">
        <w:rPr>
          <w:b/>
          <w:bCs/>
        </w:rPr>
        <w:t xml:space="preserve">Co-design: </w:t>
      </w:r>
      <w:r w:rsidR="00A76EEB" w:rsidRPr="00F31632">
        <w:t xml:space="preserve">Consumers must be partners and co-designers at all stages of decision-making and involved in the ongoing governance of the </w:t>
      </w:r>
      <w:r w:rsidR="00410C61" w:rsidRPr="00F31632">
        <w:t>COVID-19 vaccine distribution</w:t>
      </w:r>
      <w:r w:rsidR="00A76EEB" w:rsidRPr="00F31632">
        <w:t xml:space="preserve"> plan. The meaningful involvement of diverse voices is vital</w:t>
      </w:r>
      <w:r w:rsidR="00410C61" w:rsidRPr="00F31632">
        <w:t>.</w:t>
      </w:r>
    </w:p>
    <w:p w14:paraId="729E1FBE" w14:textId="2E5F8214" w:rsidR="00C839B4" w:rsidRPr="00F31632" w:rsidRDefault="002B7D05" w:rsidP="004454DD">
      <w:pPr>
        <w:pStyle w:val="ListParagraph"/>
        <w:numPr>
          <w:ilvl w:val="0"/>
          <w:numId w:val="1"/>
        </w:numPr>
      </w:pPr>
      <w:r w:rsidRPr="00F31632">
        <w:rPr>
          <w:b/>
          <w:bCs/>
        </w:rPr>
        <w:t xml:space="preserve">Equity: </w:t>
      </w:r>
      <w:r w:rsidR="00EA42AD" w:rsidRPr="00F31632">
        <w:t xml:space="preserve">Every effort should be made to address existing inequalities through the vaccine rollout, noting that public health restrictions </w:t>
      </w:r>
      <w:r w:rsidR="00230C97" w:rsidRPr="00F31632">
        <w:t>have</w:t>
      </w:r>
      <w:r w:rsidR="00EA42AD" w:rsidRPr="00F31632">
        <w:t xml:space="preserve"> place</w:t>
      </w:r>
      <w:r w:rsidR="00230C97" w:rsidRPr="00F31632">
        <w:t>d</w:t>
      </w:r>
      <w:r w:rsidR="00EA42AD" w:rsidRPr="00F31632">
        <w:t xml:space="preserve"> the greatest burden on those </w:t>
      </w:r>
      <w:r w:rsidR="005A6A6E" w:rsidRPr="00F31632">
        <w:t>with</w:t>
      </w:r>
      <w:r w:rsidR="00EA42AD" w:rsidRPr="00F31632">
        <w:t xml:space="preserve"> the greatest </w:t>
      </w:r>
      <w:r w:rsidR="00EA42AD" w:rsidRPr="00F31632">
        <w:lastRenderedPageBreak/>
        <w:t xml:space="preserve">need </w:t>
      </w:r>
      <w:r w:rsidR="005A6A6E" w:rsidRPr="00F31632">
        <w:t>for</w:t>
      </w:r>
      <w:r w:rsidR="00EA42AD" w:rsidRPr="00F31632">
        <w:t xml:space="preserve"> social and structural supports.</w:t>
      </w:r>
      <w:r w:rsidR="00DB1727">
        <w:t xml:space="preserve"> Consumers </w:t>
      </w:r>
      <w:r w:rsidR="00202370">
        <w:t xml:space="preserve">also </w:t>
      </w:r>
      <w:r w:rsidR="00DB1727">
        <w:t xml:space="preserve">recognise that </w:t>
      </w:r>
      <w:r w:rsidR="00202370">
        <w:t>equitable access to vaccines requires a risk-based approach where those who are most vulnerable to COVID-19</w:t>
      </w:r>
      <w:r w:rsidR="00565AB9">
        <w:t>, including</w:t>
      </w:r>
      <w:r w:rsidR="00202370">
        <w:t xml:space="preserve"> older Australians, people who are </w:t>
      </w:r>
      <w:r w:rsidR="00565AB9">
        <w:t>immune-compromised and health care providers, should be prioritised in the rollout.</w:t>
      </w:r>
    </w:p>
    <w:p w14:paraId="1598F683" w14:textId="049D6E25" w:rsidR="00183559" w:rsidRDefault="002D61BE" w:rsidP="00C31F47">
      <w:pPr>
        <w:pStyle w:val="ListParagraph"/>
        <w:numPr>
          <w:ilvl w:val="0"/>
          <w:numId w:val="1"/>
        </w:numPr>
      </w:pPr>
      <w:r w:rsidRPr="0A6087EC">
        <w:rPr>
          <w:b/>
          <w:bCs/>
        </w:rPr>
        <w:t>Communication</w:t>
      </w:r>
      <w:r w:rsidR="00C66C08" w:rsidRPr="0A6087EC">
        <w:rPr>
          <w:b/>
          <w:bCs/>
        </w:rPr>
        <w:t xml:space="preserve"> and engagement</w:t>
      </w:r>
      <w:r w:rsidR="001B7161" w:rsidRPr="0A6087EC">
        <w:rPr>
          <w:b/>
          <w:bCs/>
        </w:rPr>
        <w:t xml:space="preserve">: </w:t>
      </w:r>
      <w:r w:rsidR="00AD0B24">
        <w:t>Clear information and messaging about the vaccine</w:t>
      </w:r>
      <w:r w:rsidR="112EFCF0">
        <w:t>, its characteristics and effects,</w:t>
      </w:r>
      <w:r w:rsidR="00AD0B24">
        <w:t xml:space="preserve"> and its distribution must be </w:t>
      </w:r>
      <w:r w:rsidR="004E7519">
        <w:t>open, honest, transparent</w:t>
      </w:r>
      <w:r w:rsidR="00236E95">
        <w:t xml:space="preserve">, </w:t>
      </w:r>
      <w:r w:rsidR="6AAB4017">
        <w:t xml:space="preserve">respectful, </w:t>
      </w:r>
      <w:r w:rsidR="00236E95">
        <w:t xml:space="preserve">accessible, </w:t>
      </w:r>
      <w:proofErr w:type="gramStart"/>
      <w:r w:rsidR="00236E95">
        <w:t>non-judgement</w:t>
      </w:r>
      <w:r w:rsidR="6444A9B3">
        <w:t>al</w:t>
      </w:r>
      <w:proofErr w:type="gramEnd"/>
      <w:r w:rsidR="6444A9B3">
        <w:t xml:space="preserve"> </w:t>
      </w:r>
      <w:r w:rsidR="00236E95">
        <w:t xml:space="preserve">and targeted where appropriate </w:t>
      </w:r>
      <w:r w:rsidR="008872ED">
        <w:t xml:space="preserve">to ensure </w:t>
      </w:r>
      <w:r w:rsidR="00236E95">
        <w:t xml:space="preserve">all </w:t>
      </w:r>
      <w:r w:rsidR="008872ED">
        <w:t>consumers can make informed decisions</w:t>
      </w:r>
      <w:r w:rsidR="004702CC">
        <w:t xml:space="preserve"> about receiving a COVID-19 vaccine</w:t>
      </w:r>
      <w:r w:rsidR="00AD0B24">
        <w:t xml:space="preserve">. </w:t>
      </w:r>
      <w:r w:rsidR="007A4774">
        <w:t xml:space="preserve">Specific </w:t>
      </w:r>
      <w:r w:rsidR="008872ED">
        <w:t>attention must be paid to providing information to people with complex communication needs, including those who have limited capacity to make decisions about their healthcare.</w:t>
      </w:r>
    </w:p>
    <w:p w14:paraId="1799853B" w14:textId="3F141990" w:rsidR="00DA75B6" w:rsidRPr="00183559" w:rsidRDefault="00DA75B6" w:rsidP="00C31F47">
      <w:pPr>
        <w:rPr>
          <w:b/>
          <w:bCs/>
          <w:sz w:val="24"/>
          <w:szCs w:val="24"/>
        </w:rPr>
      </w:pPr>
      <w:r w:rsidRPr="0019248A">
        <w:rPr>
          <w:b/>
          <w:bCs/>
        </w:rPr>
        <w:t>KEY CONSIDERATIONS</w:t>
      </w:r>
    </w:p>
    <w:p w14:paraId="37D1E7FA" w14:textId="2690FC09" w:rsidR="005D5E56" w:rsidRPr="005D5E56" w:rsidRDefault="00303EC2" w:rsidP="005D5E56">
      <w:pPr>
        <w:rPr>
          <w:sz w:val="24"/>
          <w:szCs w:val="24"/>
        </w:rPr>
      </w:pPr>
      <w:r w:rsidRPr="00450B9F">
        <w:t xml:space="preserve">CHF </w:t>
      </w:r>
      <w:r w:rsidR="001B7161" w:rsidRPr="00450B9F">
        <w:t>recognises</w:t>
      </w:r>
      <w:r w:rsidR="00022178" w:rsidRPr="00450B9F">
        <w:t xml:space="preserve"> that </w:t>
      </w:r>
      <w:r w:rsidR="001F7E7C" w:rsidRPr="00450B9F">
        <w:t>the vaccination rollout will be a complex task and</w:t>
      </w:r>
      <w:r w:rsidR="00254C00" w:rsidRPr="00450B9F">
        <w:t xml:space="preserve"> </w:t>
      </w:r>
      <w:r w:rsidR="001F7E7C" w:rsidRPr="00450B9F">
        <w:t>it will be important that the Australian community understand</w:t>
      </w:r>
      <w:r w:rsidR="00254C00" w:rsidRPr="00450B9F">
        <w:t>s</w:t>
      </w:r>
      <w:r w:rsidR="00E44D88">
        <w:t xml:space="preserve"> and has trust</w:t>
      </w:r>
      <w:r w:rsidR="001F7E7C" w:rsidRPr="00450B9F">
        <w:t xml:space="preserve"> </w:t>
      </w:r>
      <w:r w:rsidR="7EA79953" w:rsidRPr="00450B9F">
        <w:t xml:space="preserve">in </w:t>
      </w:r>
      <w:r w:rsidR="001F7E7C" w:rsidRPr="00450B9F">
        <w:t>the process.</w:t>
      </w:r>
      <w:r w:rsidR="006A4E8C">
        <w:t xml:space="preserve"> </w:t>
      </w:r>
      <w:r w:rsidR="00113BA1">
        <w:t xml:space="preserve">We know that </w:t>
      </w:r>
      <w:r w:rsidR="00C7030A">
        <w:t>c</w:t>
      </w:r>
      <w:r w:rsidR="00113BA1">
        <w:t>hanges at the system level such as amending policies, changes to health service provision and optimising logistics are critical for supporting COVID-19 vaccination behaviours.</w:t>
      </w:r>
      <w:r w:rsidR="00C7030A">
        <w:rPr>
          <w:rStyle w:val="FootnoteReference"/>
        </w:rPr>
        <w:footnoteReference w:id="3"/>
      </w:r>
      <w:r w:rsidR="00113BA1">
        <w:t xml:space="preserve"> </w:t>
      </w:r>
      <w:r w:rsidR="00C7030A">
        <w:t>Additionally, e</w:t>
      </w:r>
      <w:r w:rsidR="005D5E56">
        <w:t>ffective c</w:t>
      </w:r>
      <w:r w:rsidR="005E5EE5">
        <w:t>onsumer and community engagement will be critical at all stages of the process</w:t>
      </w:r>
      <w:r w:rsidR="005D5E56">
        <w:t xml:space="preserve"> as </w:t>
      </w:r>
      <w:r w:rsidR="002F48EA">
        <w:t xml:space="preserve">a </w:t>
      </w:r>
      <w:r w:rsidR="005D5E56">
        <w:t>successful rollout will only be achieved by building local vaccine acceptability and confidence and overcoming cultural, socioeconomic, and political barriers that lead to mistrust and hinder uptake of vaccines.</w:t>
      </w:r>
      <w:r w:rsidR="005D5E56">
        <w:rPr>
          <w:rStyle w:val="FootnoteReference"/>
        </w:rPr>
        <w:footnoteReference w:id="4"/>
      </w:r>
    </w:p>
    <w:p w14:paraId="074B417A" w14:textId="75A11E3C" w:rsidR="00F7076B" w:rsidRDefault="0087766C" w:rsidP="00F7076B">
      <w:r>
        <w:t xml:space="preserve">With the first </w:t>
      </w:r>
      <w:r w:rsidR="002F48EA">
        <w:t xml:space="preserve">COVID-19 </w:t>
      </w:r>
      <w:r>
        <w:t xml:space="preserve">vaccines due to be available in </w:t>
      </w:r>
      <w:r w:rsidR="002F48EA">
        <w:t xml:space="preserve">Australia in </w:t>
      </w:r>
      <w:r>
        <w:t xml:space="preserve">early 2021, the process must begin now to </w:t>
      </w:r>
      <w:r w:rsidR="005B0048">
        <w:t>provide accessible and relevant information to the Australian community</w:t>
      </w:r>
      <w:r w:rsidR="00C34C9F">
        <w:t xml:space="preserve"> about which vaccines will be available, their level</w:t>
      </w:r>
      <w:r w:rsidR="00DD5BFE">
        <w:t>s</w:t>
      </w:r>
      <w:r w:rsidR="00C34C9F">
        <w:t xml:space="preserve"> of efficacy, how they can be accessed and </w:t>
      </w:r>
      <w:r w:rsidR="00385AE0">
        <w:t xml:space="preserve">what </w:t>
      </w:r>
      <w:r w:rsidR="00BD1FF4">
        <w:t>getting a</w:t>
      </w:r>
      <w:r w:rsidR="00385AE0">
        <w:t xml:space="preserve"> vaccine will mean for consumers</w:t>
      </w:r>
      <w:r w:rsidR="00BD1FF4">
        <w:t>’</w:t>
      </w:r>
      <w:r w:rsidR="00385AE0">
        <w:t xml:space="preserve"> day to day lives</w:t>
      </w:r>
      <w:r w:rsidR="003B0761">
        <w:t>.</w:t>
      </w:r>
      <w:r w:rsidR="00D23D2C">
        <w:t xml:space="preserve"> </w:t>
      </w:r>
      <w:r w:rsidR="0084133A">
        <w:t xml:space="preserve">Consumers must be </w:t>
      </w:r>
      <w:r w:rsidR="00174295">
        <w:t xml:space="preserve">meaningfully involved in the planning and development of </w:t>
      </w:r>
      <w:r w:rsidR="000820C3">
        <w:t xml:space="preserve">communication </w:t>
      </w:r>
      <w:r w:rsidR="00174295">
        <w:t xml:space="preserve">materials to ensure </w:t>
      </w:r>
      <w:r w:rsidR="000820C3">
        <w:t>they</w:t>
      </w:r>
      <w:r w:rsidR="00174295">
        <w:t xml:space="preserve"> are respectful and </w:t>
      </w:r>
      <w:r w:rsidR="005F2DB9">
        <w:t xml:space="preserve">minimise any potential </w:t>
      </w:r>
      <w:r w:rsidR="000820C3">
        <w:t xml:space="preserve">for </w:t>
      </w:r>
      <w:r w:rsidR="005F2DB9">
        <w:t>community division</w:t>
      </w:r>
      <w:r w:rsidR="006130EF">
        <w:t xml:space="preserve">. </w:t>
      </w:r>
      <w:r w:rsidR="00D23D2C">
        <w:t>The vaccine distribution strategy should include transparent information about each of the following elements:</w:t>
      </w:r>
    </w:p>
    <w:tbl>
      <w:tblPr>
        <w:tblStyle w:val="TableGrid"/>
        <w:tblW w:w="9924" w:type="dxa"/>
        <w:tblInd w:w="-431" w:type="dxa"/>
        <w:tblLook w:val="04A0" w:firstRow="1" w:lastRow="0" w:firstColumn="1" w:lastColumn="0" w:noHBand="0" w:noVBand="1"/>
      </w:tblPr>
      <w:tblGrid>
        <w:gridCol w:w="1419"/>
        <w:gridCol w:w="3543"/>
        <w:gridCol w:w="4962"/>
      </w:tblGrid>
      <w:tr w:rsidR="00684FD0" w14:paraId="53D3AD40" w14:textId="77777777" w:rsidTr="00EF4EDE">
        <w:tc>
          <w:tcPr>
            <w:tcW w:w="1419" w:type="dxa"/>
            <w:shd w:val="clear" w:color="auto" w:fill="A8D08D" w:themeFill="accent6" w:themeFillTint="99"/>
          </w:tcPr>
          <w:p w14:paraId="16194D0C" w14:textId="2DC9FF26" w:rsidR="00684FD0" w:rsidRPr="000A7EF9" w:rsidRDefault="000A7EF9" w:rsidP="00F7076B">
            <w:pPr>
              <w:rPr>
                <w:b/>
                <w:bCs/>
              </w:rPr>
            </w:pPr>
            <w:r w:rsidRPr="000A7EF9">
              <w:rPr>
                <w:b/>
                <w:bCs/>
              </w:rPr>
              <w:t>Process</w:t>
            </w:r>
            <w:r w:rsidR="007477AF">
              <w:rPr>
                <w:b/>
                <w:bCs/>
              </w:rPr>
              <w:t xml:space="preserve"> element</w:t>
            </w:r>
          </w:p>
        </w:tc>
        <w:tc>
          <w:tcPr>
            <w:tcW w:w="3543" w:type="dxa"/>
            <w:shd w:val="clear" w:color="auto" w:fill="A8D08D" w:themeFill="accent6" w:themeFillTint="99"/>
          </w:tcPr>
          <w:p w14:paraId="63AD705E" w14:textId="48B9151E" w:rsidR="00684FD0" w:rsidRPr="000A7EF9" w:rsidRDefault="007477AF" w:rsidP="00F7076B">
            <w:pPr>
              <w:rPr>
                <w:b/>
                <w:bCs/>
              </w:rPr>
            </w:pPr>
            <w:r>
              <w:rPr>
                <w:b/>
                <w:bCs/>
              </w:rPr>
              <w:t>Key questions</w:t>
            </w:r>
          </w:p>
        </w:tc>
        <w:tc>
          <w:tcPr>
            <w:tcW w:w="4962" w:type="dxa"/>
            <w:shd w:val="clear" w:color="auto" w:fill="A8D08D" w:themeFill="accent6" w:themeFillTint="99"/>
          </w:tcPr>
          <w:p w14:paraId="0FBCAA08" w14:textId="4A3AB067" w:rsidR="00684FD0" w:rsidRPr="000A7EF9" w:rsidRDefault="000A7EF9" w:rsidP="00F7076B">
            <w:pPr>
              <w:rPr>
                <w:b/>
                <w:bCs/>
              </w:rPr>
            </w:pPr>
            <w:r w:rsidRPr="000A7EF9">
              <w:rPr>
                <w:b/>
                <w:bCs/>
              </w:rPr>
              <w:t>Consumer perspective</w:t>
            </w:r>
          </w:p>
        </w:tc>
      </w:tr>
      <w:tr w:rsidR="00684FD0" w14:paraId="54FCA381" w14:textId="77777777" w:rsidTr="00EF4EDE">
        <w:tc>
          <w:tcPr>
            <w:tcW w:w="1419" w:type="dxa"/>
          </w:tcPr>
          <w:p w14:paraId="7AAA60DD" w14:textId="0EAD35A7" w:rsidR="00684FD0" w:rsidRPr="00D408D5" w:rsidRDefault="000A7EF9" w:rsidP="00F7076B">
            <w:pPr>
              <w:rPr>
                <w:i/>
                <w:iCs/>
              </w:rPr>
            </w:pPr>
            <w:r w:rsidRPr="00D408D5">
              <w:rPr>
                <w:i/>
                <w:iCs/>
              </w:rPr>
              <w:t>Vaccine approval (including safety and quality)</w:t>
            </w:r>
          </w:p>
        </w:tc>
        <w:tc>
          <w:tcPr>
            <w:tcW w:w="3543" w:type="dxa"/>
          </w:tcPr>
          <w:p w14:paraId="580DE88E" w14:textId="77777777" w:rsidR="00865084" w:rsidRDefault="007477AF" w:rsidP="00AA5BE3">
            <w:pPr>
              <w:pStyle w:val="ListParagraph"/>
              <w:numPr>
                <w:ilvl w:val="0"/>
                <w:numId w:val="7"/>
              </w:numPr>
            </w:pPr>
            <w:r>
              <w:t>W</w:t>
            </w:r>
            <w:r w:rsidRPr="00450B9F">
              <w:t>hich vaccines have been approved</w:t>
            </w:r>
            <w:r>
              <w:t xml:space="preserve"> for use in Australia?</w:t>
            </w:r>
            <w:r w:rsidRPr="00450B9F">
              <w:t xml:space="preserve"> </w:t>
            </w:r>
          </w:p>
          <w:p w14:paraId="39414CB1" w14:textId="14FA0E93" w:rsidR="00684FD0" w:rsidRDefault="007477AF" w:rsidP="00AA5BE3">
            <w:pPr>
              <w:pStyle w:val="ListParagraph"/>
              <w:numPr>
                <w:ilvl w:val="0"/>
                <w:numId w:val="7"/>
              </w:numPr>
            </w:pPr>
            <w:r>
              <w:t xml:space="preserve">Are there </w:t>
            </w:r>
            <w:r w:rsidRPr="00450B9F">
              <w:t xml:space="preserve">any safety concerns or contraindications </w:t>
            </w:r>
            <w:r>
              <w:t>for the general population or specific cohorts?</w:t>
            </w:r>
          </w:p>
          <w:p w14:paraId="3FB2D448" w14:textId="7FE6DAC5" w:rsidR="00D868FC" w:rsidRDefault="00D868FC" w:rsidP="00AA5BE3">
            <w:pPr>
              <w:pStyle w:val="ListParagraph"/>
              <w:numPr>
                <w:ilvl w:val="0"/>
                <w:numId w:val="7"/>
              </w:numPr>
            </w:pPr>
            <w:r>
              <w:t xml:space="preserve">How effective </w:t>
            </w:r>
            <w:r w:rsidR="00285E85">
              <w:t>are</w:t>
            </w:r>
            <w:r>
              <w:t xml:space="preserve"> </w:t>
            </w:r>
            <w:r w:rsidR="004E76B6">
              <w:t xml:space="preserve">each of </w:t>
            </w:r>
            <w:r>
              <w:t>the vaccine</w:t>
            </w:r>
            <w:r w:rsidR="00285E85">
              <w:t>s</w:t>
            </w:r>
            <w:r>
              <w:t xml:space="preserve"> at preventing </w:t>
            </w:r>
            <w:r w:rsidR="00070D35">
              <w:t>COVID-19 infection</w:t>
            </w:r>
            <w:r w:rsidR="004E76B6">
              <w:t xml:space="preserve"> and disease</w:t>
            </w:r>
            <w:r w:rsidR="00070D35">
              <w:t>?</w:t>
            </w:r>
          </w:p>
          <w:p w14:paraId="7552FEB6" w14:textId="6C4ECE51" w:rsidR="00AB3F05" w:rsidRDefault="00172047" w:rsidP="00AB3F05">
            <w:pPr>
              <w:pStyle w:val="ListParagraph"/>
              <w:numPr>
                <w:ilvl w:val="0"/>
                <w:numId w:val="7"/>
              </w:numPr>
            </w:pPr>
            <w:r>
              <w:t xml:space="preserve">How </w:t>
            </w:r>
            <w:r w:rsidR="00AF3655">
              <w:t>do</w:t>
            </w:r>
            <w:r>
              <w:t xml:space="preserve"> the </w:t>
            </w:r>
            <w:r w:rsidR="00AF3655">
              <w:t xml:space="preserve">different </w:t>
            </w:r>
            <w:r>
              <w:t>vaccine</w:t>
            </w:r>
            <w:r w:rsidR="00AF3655">
              <w:t>s work</w:t>
            </w:r>
            <w:r w:rsidR="00285E85">
              <w:t xml:space="preserve"> and how are they</w:t>
            </w:r>
            <w:r>
              <w:t xml:space="preserve"> manufactured?</w:t>
            </w:r>
          </w:p>
        </w:tc>
        <w:tc>
          <w:tcPr>
            <w:tcW w:w="4962" w:type="dxa"/>
          </w:tcPr>
          <w:p w14:paraId="0A7727D4" w14:textId="4E0A813A" w:rsidR="00684FD0" w:rsidRDefault="00D52CBB" w:rsidP="00FB64CD">
            <w:pPr>
              <w:spacing w:after="120"/>
            </w:pPr>
            <w:r>
              <w:t xml:space="preserve">Many consumers will have </w:t>
            </w:r>
            <w:r w:rsidR="00D33900">
              <w:t xml:space="preserve">valid </w:t>
            </w:r>
            <w:r>
              <w:t xml:space="preserve">questions about the </w:t>
            </w:r>
            <w:r w:rsidR="00670839">
              <w:t xml:space="preserve">safety and efficacy of the different </w:t>
            </w:r>
            <w:r>
              <w:t>vaccines</w:t>
            </w:r>
            <w:r w:rsidR="00D97AF7">
              <w:t xml:space="preserve"> and ensuring there is </w:t>
            </w:r>
            <w:r w:rsidR="00C309C9">
              <w:t>easy access to information to answer these questions is the best way to reduce vaccine hesitancy and instil confidence in the vaccine rollout.</w:t>
            </w:r>
            <w:r>
              <w:t xml:space="preserve"> </w:t>
            </w:r>
          </w:p>
          <w:p w14:paraId="16884128" w14:textId="41BEF290" w:rsidR="00CF001A" w:rsidRDefault="009B3283" w:rsidP="00FB64CD">
            <w:pPr>
              <w:spacing w:after="120"/>
            </w:pPr>
            <w:r>
              <w:t xml:space="preserve">Informed consent needs to be obtained prior to the administration of a vaccine </w:t>
            </w:r>
            <w:r w:rsidR="006E38B9">
              <w:t xml:space="preserve">including information that enables </w:t>
            </w:r>
            <w:r>
              <w:t>consumer</w:t>
            </w:r>
            <w:r w:rsidR="005B143F">
              <w:t xml:space="preserve">s </w:t>
            </w:r>
            <w:r w:rsidR="006E38B9">
              <w:t xml:space="preserve">to </w:t>
            </w:r>
            <w:r w:rsidR="005B143F">
              <w:t>understand the risks and benefits involved.</w:t>
            </w:r>
            <w:r w:rsidR="00F163D2">
              <w:t xml:space="preserve"> The </w:t>
            </w:r>
            <w:proofErr w:type="gramStart"/>
            <w:r w:rsidR="00F163D2">
              <w:t>manner in which</w:t>
            </w:r>
            <w:proofErr w:type="gramEnd"/>
            <w:r w:rsidR="00F163D2">
              <w:t xml:space="preserve"> consent is obtained </w:t>
            </w:r>
            <w:r w:rsidR="00666B85">
              <w:t xml:space="preserve">must consider the health literacy of diverse members of our community. </w:t>
            </w:r>
          </w:p>
          <w:p w14:paraId="0C0272D9" w14:textId="0CD131DC" w:rsidR="00AB3F05" w:rsidRDefault="00AB3F05" w:rsidP="003B6910">
            <w:r>
              <w:t xml:space="preserve">Additionally, governments must ensure that </w:t>
            </w:r>
            <w:r w:rsidR="001718B3">
              <w:t xml:space="preserve">there are </w:t>
            </w:r>
            <w:r w:rsidR="003B6910">
              <w:t xml:space="preserve">transparent </w:t>
            </w:r>
            <w:r w:rsidR="001718B3">
              <w:t xml:space="preserve">early warning and monitoring </w:t>
            </w:r>
            <w:r w:rsidR="001718B3">
              <w:lastRenderedPageBreak/>
              <w:t>systems in place</w:t>
            </w:r>
            <w:r w:rsidR="003B6910">
              <w:t xml:space="preserve"> </w:t>
            </w:r>
            <w:r w:rsidR="001718B3">
              <w:t xml:space="preserve">to ensure safety and </w:t>
            </w:r>
            <w:r w:rsidR="003B6910">
              <w:t>provide a</w:t>
            </w:r>
            <w:r w:rsidR="001718B3">
              <w:t>ssurance to the community about any adverse</w:t>
            </w:r>
            <w:r w:rsidR="003B6910">
              <w:t xml:space="preserve"> </w:t>
            </w:r>
            <w:r w:rsidR="001718B3">
              <w:t xml:space="preserve">reactions and how they are </w:t>
            </w:r>
            <w:r w:rsidR="003B6910">
              <w:t xml:space="preserve">being </w:t>
            </w:r>
            <w:r w:rsidR="001718B3">
              <w:t>managed.</w:t>
            </w:r>
          </w:p>
        </w:tc>
      </w:tr>
      <w:tr w:rsidR="00684FD0" w14:paraId="6B52EFF7" w14:textId="77777777" w:rsidTr="00EF4EDE">
        <w:tc>
          <w:tcPr>
            <w:tcW w:w="1419" w:type="dxa"/>
          </w:tcPr>
          <w:p w14:paraId="7B19804C" w14:textId="47B03493" w:rsidR="00684FD0" w:rsidRPr="00D408D5" w:rsidRDefault="000A7EF9" w:rsidP="00F7076B">
            <w:pPr>
              <w:rPr>
                <w:i/>
                <w:iCs/>
              </w:rPr>
            </w:pPr>
            <w:r w:rsidRPr="00D408D5">
              <w:rPr>
                <w:i/>
                <w:iCs/>
              </w:rPr>
              <w:lastRenderedPageBreak/>
              <w:t>Prioritisation</w:t>
            </w:r>
          </w:p>
        </w:tc>
        <w:tc>
          <w:tcPr>
            <w:tcW w:w="3543" w:type="dxa"/>
          </w:tcPr>
          <w:p w14:paraId="6142B951" w14:textId="3BF64720" w:rsidR="00684FD0" w:rsidRDefault="00A266E9" w:rsidP="00865084">
            <w:pPr>
              <w:pStyle w:val="ListParagraph"/>
              <w:numPr>
                <w:ilvl w:val="0"/>
                <w:numId w:val="7"/>
              </w:numPr>
            </w:pPr>
            <w:r>
              <w:t>How many phases will there be for vaccine rollout in Australia?</w:t>
            </w:r>
          </w:p>
          <w:p w14:paraId="37779E45" w14:textId="1F3C214D" w:rsidR="00A266E9" w:rsidRDefault="00A266E9" w:rsidP="00865084">
            <w:pPr>
              <w:pStyle w:val="ListParagraph"/>
              <w:numPr>
                <w:ilvl w:val="0"/>
                <w:numId w:val="7"/>
              </w:numPr>
            </w:pPr>
            <w:r>
              <w:t>Which population groups will be eligible for vaccin</w:t>
            </w:r>
            <w:r w:rsidR="009437A2">
              <w:t>ation</w:t>
            </w:r>
            <w:r>
              <w:t xml:space="preserve"> in each phase?</w:t>
            </w:r>
            <w:r w:rsidR="009437A2">
              <w:t xml:space="preserve"> Wh</w:t>
            </w:r>
            <w:r w:rsidR="00D05A1D">
              <w:t>o will get access to which vaccine?</w:t>
            </w:r>
          </w:p>
          <w:p w14:paraId="632C4556" w14:textId="34D4BD81" w:rsidR="00A266E9" w:rsidRDefault="004F51C4" w:rsidP="00865084">
            <w:pPr>
              <w:pStyle w:val="ListParagraph"/>
              <w:numPr>
                <w:ilvl w:val="0"/>
                <w:numId w:val="7"/>
              </w:numPr>
            </w:pPr>
            <w:r w:rsidRPr="004F51C4">
              <w:t xml:space="preserve">Will Australia </w:t>
            </w:r>
            <w:r>
              <w:t>be able to provide</w:t>
            </w:r>
            <w:r w:rsidRPr="004F51C4">
              <w:t xml:space="preserve"> access to </w:t>
            </w:r>
            <w:r>
              <w:t xml:space="preserve">a </w:t>
            </w:r>
            <w:r w:rsidRPr="004F51C4">
              <w:t xml:space="preserve">vaccine for all eligible </w:t>
            </w:r>
            <w:r>
              <w:t xml:space="preserve">members of the </w:t>
            </w:r>
            <w:r w:rsidRPr="004F51C4">
              <w:t>population?</w:t>
            </w:r>
            <w:r>
              <w:t xml:space="preserve"> If so, w</w:t>
            </w:r>
            <w:r w:rsidR="00A266E9">
              <w:t>hat is the timeline for full rollout?</w:t>
            </w:r>
          </w:p>
          <w:p w14:paraId="1C5BEE27" w14:textId="682E82DA" w:rsidR="00A266E9" w:rsidRDefault="00356C10" w:rsidP="00865084">
            <w:pPr>
              <w:pStyle w:val="ListParagraph"/>
              <w:numPr>
                <w:ilvl w:val="0"/>
                <w:numId w:val="7"/>
              </w:numPr>
            </w:pPr>
            <w:r>
              <w:t xml:space="preserve">How was the prioritisation process determined and what is the rationale for </w:t>
            </w:r>
            <w:r w:rsidR="000469B7">
              <w:t>determining</w:t>
            </w:r>
            <w:r>
              <w:t xml:space="preserve"> priority access?</w:t>
            </w:r>
          </w:p>
        </w:tc>
        <w:tc>
          <w:tcPr>
            <w:tcW w:w="4962" w:type="dxa"/>
          </w:tcPr>
          <w:p w14:paraId="4DD663AD" w14:textId="761B4365" w:rsidR="00684FD0" w:rsidRDefault="00372BCE" w:rsidP="00FB64CD">
            <w:pPr>
              <w:spacing w:after="120"/>
            </w:pPr>
            <w:r>
              <w:t>Consumers understand that not everyone will be able to be vaccinated in the first round</w:t>
            </w:r>
            <w:r w:rsidR="006E540C">
              <w:t>.</w:t>
            </w:r>
            <w:r w:rsidR="00F83267">
              <w:t xml:space="preserve"> </w:t>
            </w:r>
            <w:r w:rsidR="006E540C">
              <w:t>Governments must ensure there is clear information about wh</w:t>
            </w:r>
            <w:r w:rsidR="00C35156">
              <w:t xml:space="preserve">en and how people </w:t>
            </w:r>
            <w:r w:rsidR="006E540C">
              <w:t>can get access to</w:t>
            </w:r>
            <w:r w:rsidR="00C35156">
              <w:t xml:space="preserve"> which vaccine</w:t>
            </w:r>
            <w:r w:rsidR="00F2361B">
              <w:t xml:space="preserve"> and to ensure that those criteria are being applied consistently at a national level.</w:t>
            </w:r>
            <w:r w:rsidR="00C80B7B">
              <w:t xml:space="preserve"> Consumers should be consulted</w:t>
            </w:r>
            <w:r w:rsidR="00863A50">
              <w:t xml:space="preserve"> in a timely and appropriate fashion</w:t>
            </w:r>
            <w:r w:rsidR="00C80B7B">
              <w:t xml:space="preserve"> on the criteria </w:t>
            </w:r>
            <w:r w:rsidR="00D94269">
              <w:t xml:space="preserve">that will be drawn upon to determine </w:t>
            </w:r>
            <w:r w:rsidR="00E91F01">
              <w:t>the prioritisation of access</w:t>
            </w:r>
            <w:r w:rsidR="00EC7414">
              <w:t xml:space="preserve">, as well as the decision-making </w:t>
            </w:r>
            <w:r w:rsidR="005527FB">
              <w:t>on prioritisation</w:t>
            </w:r>
            <w:r w:rsidR="00E91F01">
              <w:t>.</w:t>
            </w:r>
          </w:p>
          <w:p w14:paraId="0DCC2277" w14:textId="157558E8" w:rsidR="005527FB" w:rsidRDefault="00AC30ED" w:rsidP="00F7076B">
            <w:r>
              <w:t xml:space="preserve">Noting that much of the data around COVID-19 and its effect on different population groups is still emerging, </w:t>
            </w:r>
            <w:r w:rsidR="00B3146D">
              <w:t xml:space="preserve">the prioritisation </w:t>
            </w:r>
            <w:r>
              <w:t xml:space="preserve">criteria should include </w:t>
            </w:r>
            <w:r w:rsidR="00B3146D">
              <w:t>evidence from specific studies as well as other reasonable clinical indicators.</w:t>
            </w:r>
          </w:p>
        </w:tc>
      </w:tr>
      <w:tr w:rsidR="00684FD0" w14:paraId="44D189AC" w14:textId="77777777" w:rsidTr="00EF4EDE">
        <w:tc>
          <w:tcPr>
            <w:tcW w:w="1419" w:type="dxa"/>
          </w:tcPr>
          <w:p w14:paraId="67CCD488" w14:textId="3924A716" w:rsidR="00684FD0" w:rsidRPr="00D408D5" w:rsidRDefault="000A7EF9" w:rsidP="00F7076B">
            <w:pPr>
              <w:rPr>
                <w:i/>
                <w:iCs/>
              </w:rPr>
            </w:pPr>
            <w:r w:rsidRPr="00D408D5">
              <w:rPr>
                <w:i/>
                <w:iCs/>
              </w:rPr>
              <w:t>Access and logistics</w:t>
            </w:r>
          </w:p>
        </w:tc>
        <w:tc>
          <w:tcPr>
            <w:tcW w:w="3543" w:type="dxa"/>
          </w:tcPr>
          <w:p w14:paraId="4ECB92E0" w14:textId="529EDA96" w:rsidR="00684FD0" w:rsidRDefault="00896686" w:rsidP="00865084">
            <w:pPr>
              <w:pStyle w:val="ListParagraph"/>
              <w:numPr>
                <w:ilvl w:val="0"/>
                <w:numId w:val="7"/>
              </w:numPr>
            </w:pPr>
            <w:r>
              <w:t xml:space="preserve">Where will </w:t>
            </w:r>
            <w:r w:rsidR="00865084">
              <w:t>consumers</w:t>
            </w:r>
            <w:r>
              <w:t xml:space="preserve"> need to go to get access to the vaccine?</w:t>
            </w:r>
            <w:r w:rsidR="002A6828">
              <w:t xml:space="preserve"> Will this vary across states and territories and if so, how?</w:t>
            </w:r>
          </w:p>
          <w:p w14:paraId="309503AF" w14:textId="02C39CC2" w:rsidR="00E447C3" w:rsidRDefault="00E447C3" w:rsidP="00E447C3">
            <w:pPr>
              <w:pStyle w:val="ListParagraph"/>
              <w:numPr>
                <w:ilvl w:val="0"/>
                <w:numId w:val="7"/>
              </w:numPr>
            </w:pPr>
            <w:r>
              <w:t>How many doses of the vaccine does each person need to get and how far apart should those doses be?</w:t>
            </w:r>
          </w:p>
          <w:p w14:paraId="06EBF0C0" w14:textId="1D982EB8" w:rsidR="00E0575E" w:rsidRDefault="00770140" w:rsidP="00865084">
            <w:pPr>
              <w:pStyle w:val="ListParagraph"/>
              <w:numPr>
                <w:ilvl w:val="0"/>
                <w:numId w:val="7"/>
              </w:numPr>
            </w:pPr>
            <w:r>
              <w:t xml:space="preserve">Is the vaccine likely to be an annual </w:t>
            </w:r>
            <w:r w:rsidR="00BF41F2">
              <w:t>vaccine like the flu</w:t>
            </w:r>
            <w:r w:rsidR="00BB3230">
              <w:t xml:space="preserve"> or are we still waiting to find out </w:t>
            </w:r>
            <w:r w:rsidR="000A6920">
              <w:t>if it</w:t>
            </w:r>
            <w:r w:rsidR="00424AC8">
              <w:t xml:space="preserve"> i</w:t>
            </w:r>
            <w:r w:rsidR="000A6920">
              <w:t>s a vaccine that will last a lifetime?</w:t>
            </w:r>
          </w:p>
          <w:p w14:paraId="17C0731B" w14:textId="3AFD5BEC" w:rsidR="009D0DAE" w:rsidRDefault="009D0DAE" w:rsidP="00865084">
            <w:pPr>
              <w:pStyle w:val="ListParagraph"/>
              <w:numPr>
                <w:ilvl w:val="0"/>
                <w:numId w:val="7"/>
              </w:numPr>
            </w:pPr>
            <w:r>
              <w:t xml:space="preserve">Which healthcare professionals can </w:t>
            </w:r>
            <w:r w:rsidR="00D766CA">
              <w:t>administer the vaccine?</w:t>
            </w:r>
          </w:p>
          <w:p w14:paraId="23879BE0" w14:textId="77777777" w:rsidR="008C2D87" w:rsidRDefault="001156E5" w:rsidP="008C2D87">
            <w:pPr>
              <w:pStyle w:val="ListParagraph"/>
              <w:numPr>
                <w:ilvl w:val="0"/>
                <w:numId w:val="7"/>
              </w:numPr>
            </w:pPr>
            <w:r>
              <w:t xml:space="preserve">Do </w:t>
            </w:r>
            <w:r w:rsidR="00865084">
              <w:t>consumers</w:t>
            </w:r>
            <w:r>
              <w:t xml:space="preserve"> need to get all doses from the same </w:t>
            </w:r>
            <w:r w:rsidR="00865084">
              <w:t xml:space="preserve">location or </w:t>
            </w:r>
            <w:r>
              <w:t>healthcare professional?</w:t>
            </w:r>
          </w:p>
          <w:p w14:paraId="380264B6" w14:textId="24B8CA9D" w:rsidR="008C2D87" w:rsidRDefault="00FD27D7" w:rsidP="008C2D87">
            <w:pPr>
              <w:pStyle w:val="ListParagraph"/>
              <w:numPr>
                <w:ilvl w:val="0"/>
                <w:numId w:val="7"/>
              </w:numPr>
            </w:pPr>
            <w:r>
              <w:t>What preventative measures should consumers continue to take once they have been vaccinated?</w:t>
            </w:r>
          </w:p>
        </w:tc>
        <w:tc>
          <w:tcPr>
            <w:tcW w:w="4962" w:type="dxa"/>
          </w:tcPr>
          <w:p w14:paraId="10EBBA29" w14:textId="77777777" w:rsidR="003F1117" w:rsidRDefault="00DD4B0D" w:rsidP="00FB64CD">
            <w:pPr>
              <w:spacing w:after="120"/>
            </w:pPr>
            <w:r>
              <w:t xml:space="preserve">There is a balance to be achieved between maximising access and ensuring safety and quality standards are maintained. Given the </w:t>
            </w:r>
            <w:r w:rsidR="00577447">
              <w:t>accelerated</w:t>
            </w:r>
            <w:r w:rsidR="00592E10">
              <w:t xml:space="preserve"> approval process</w:t>
            </w:r>
            <w:r w:rsidR="00D515C9">
              <w:rPr>
                <w:rStyle w:val="FootnoteReference"/>
              </w:rPr>
              <w:footnoteReference w:id="5"/>
            </w:r>
            <w:r w:rsidR="00592E10">
              <w:t xml:space="preserve"> and the </w:t>
            </w:r>
            <w:r w:rsidR="001E2A6D">
              <w:t>possible</w:t>
            </w:r>
            <w:r w:rsidR="00592E10">
              <w:t xml:space="preserve"> need for multiple doses, </w:t>
            </w:r>
            <w:r w:rsidR="00A43523">
              <w:t xml:space="preserve">healthcare settings </w:t>
            </w:r>
            <w:r w:rsidR="00577447">
              <w:t xml:space="preserve">and providers </w:t>
            </w:r>
            <w:r w:rsidR="00A43523">
              <w:t xml:space="preserve">that </w:t>
            </w:r>
            <w:r w:rsidR="00987B7B">
              <w:t>deliver</w:t>
            </w:r>
            <w:r w:rsidR="00A43523">
              <w:t xml:space="preserve"> the vaccine </w:t>
            </w:r>
            <w:r w:rsidR="007D21F0">
              <w:t>might include fit-for-purpose clinics and general practices</w:t>
            </w:r>
            <w:r w:rsidR="00577447">
              <w:t xml:space="preserve"> as well as provision for </w:t>
            </w:r>
            <w:r w:rsidR="005E76C4">
              <w:t>vaccines to be administered by qualified health professionals in the home when needed.</w:t>
            </w:r>
            <w:r w:rsidR="54026100">
              <w:t xml:space="preserve"> </w:t>
            </w:r>
            <w:r w:rsidR="00B655E6">
              <w:t xml:space="preserve">After hours and weekend </w:t>
            </w:r>
            <w:r w:rsidR="003F1117">
              <w:t>a</w:t>
            </w:r>
            <w:r w:rsidR="00B655E6">
              <w:t xml:space="preserve">ccess </w:t>
            </w:r>
            <w:r w:rsidR="003F1117">
              <w:t>is also critical and s</w:t>
            </w:r>
            <w:r w:rsidR="00FE2F8D">
              <w:t xml:space="preserve">ervices that are targeted to meet the needs of </w:t>
            </w:r>
            <w:r w:rsidR="007F61C0">
              <w:t xml:space="preserve">communities with poorer health access should also be considered to overcome issues of stigma and discrimination. </w:t>
            </w:r>
          </w:p>
          <w:p w14:paraId="6D637C3F" w14:textId="3E517370" w:rsidR="00684FD0" w:rsidRDefault="005E76C4" w:rsidP="00F7076B">
            <w:r>
              <w:t>Services</w:t>
            </w:r>
            <w:r w:rsidR="54026100">
              <w:t xml:space="preserve"> </w:t>
            </w:r>
            <w:r w:rsidR="00A43523">
              <w:t xml:space="preserve">must </w:t>
            </w:r>
            <w:r w:rsidR="00987B7B">
              <w:t>provide the following:</w:t>
            </w:r>
          </w:p>
          <w:p w14:paraId="0D2F3260" w14:textId="2C941ED9" w:rsidR="00987B7B" w:rsidRDefault="00987B7B" w:rsidP="00987B7B">
            <w:pPr>
              <w:pStyle w:val="ListParagraph"/>
              <w:numPr>
                <w:ilvl w:val="0"/>
                <w:numId w:val="9"/>
              </w:numPr>
            </w:pPr>
            <w:r>
              <w:t>A safe waiting area that allows for physical distancing</w:t>
            </w:r>
          </w:p>
          <w:p w14:paraId="13044515" w14:textId="57C90543" w:rsidR="00987B7B" w:rsidRDefault="005E6EDF" w:rsidP="00987B7B">
            <w:pPr>
              <w:pStyle w:val="ListParagraph"/>
              <w:numPr>
                <w:ilvl w:val="0"/>
                <w:numId w:val="9"/>
              </w:numPr>
            </w:pPr>
            <w:r>
              <w:t xml:space="preserve">A dedicated </w:t>
            </w:r>
            <w:r w:rsidR="004308A5">
              <w:t xml:space="preserve">monitoring </w:t>
            </w:r>
            <w:r>
              <w:t xml:space="preserve">area </w:t>
            </w:r>
            <w:r w:rsidR="004308A5">
              <w:t>staffed</w:t>
            </w:r>
            <w:r>
              <w:t xml:space="preserve"> by </w:t>
            </w:r>
            <w:r w:rsidR="00063AAB">
              <w:t xml:space="preserve">appropriately qualified </w:t>
            </w:r>
            <w:r>
              <w:t xml:space="preserve">healthcare professionals </w:t>
            </w:r>
            <w:r w:rsidR="004308A5">
              <w:t xml:space="preserve">to check </w:t>
            </w:r>
            <w:r>
              <w:t xml:space="preserve">for any adverse </w:t>
            </w:r>
            <w:proofErr w:type="gramStart"/>
            <w:r>
              <w:t>reactions</w:t>
            </w:r>
            <w:proofErr w:type="gramEnd"/>
          </w:p>
          <w:p w14:paraId="6865ABE8" w14:textId="6FD6CB00" w:rsidR="005E6EDF" w:rsidRDefault="004308A5" w:rsidP="00987B7B">
            <w:pPr>
              <w:pStyle w:val="ListParagraph"/>
              <w:numPr>
                <w:ilvl w:val="0"/>
                <w:numId w:val="9"/>
              </w:numPr>
            </w:pPr>
            <w:r>
              <w:t>An appropriate record</w:t>
            </w:r>
            <w:r w:rsidR="00597424">
              <w:t>-</w:t>
            </w:r>
            <w:r>
              <w:t xml:space="preserve">keeping system </w:t>
            </w:r>
            <w:r w:rsidR="00033228">
              <w:t>to track who has received the vaccine</w:t>
            </w:r>
            <w:r w:rsidR="00535D04">
              <w:t xml:space="preserve"> and</w:t>
            </w:r>
            <w:r w:rsidR="00666C4E">
              <w:t xml:space="preserve"> how many </w:t>
            </w:r>
            <w:proofErr w:type="gramStart"/>
            <w:r w:rsidR="00666C4E">
              <w:t>doses</w:t>
            </w:r>
            <w:proofErr w:type="gramEnd"/>
          </w:p>
          <w:p w14:paraId="7CF4FB9E" w14:textId="3C58352C" w:rsidR="00666C4E" w:rsidRDefault="00666C4E" w:rsidP="00987B7B">
            <w:pPr>
              <w:pStyle w:val="ListParagraph"/>
              <w:numPr>
                <w:ilvl w:val="0"/>
                <w:numId w:val="9"/>
              </w:numPr>
            </w:pPr>
            <w:r>
              <w:t xml:space="preserve">A </w:t>
            </w:r>
            <w:r w:rsidR="00E1012C">
              <w:t xml:space="preserve">contact </w:t>
            </w:r>
            <w:r>
              <w:t xml:space="preserve">system </w:t>
            </w:r>
            <w:r w:rsidR="00E1012C">
              <w:t>for</w:t>
            </w:r>
            <w:r>
              <w:t xml:space="preserve"> follow-up </w:t>
            </w:r>
            <w:r w:rsidR="00B15213">
              <w:t xml:space="preserve">reminders </w:t>
            </w:r>
            <w:r w:rsidR="00E57ED9">
              <w:t xml:space="preserve">to receive a second </w:t>
            </w:r>
            <w:proofErr w:type="gramStart"/>
            <w:r w:rsidR="00E57ED9">
              <w:t>dose</w:t>
            </w:r>
            <w:proofErr w:type="gramEnd"/>
          </w:p>
          <w:p w14:paraId="4EDE64E5" w14:textId="33199C26" w:rsidR="00E57ED9" w:rsidRDefault="002425C1" w:rsidP="00987B7B">
            <w:pPr>
              <w:pStyle w:val="ListParagraph"/>
              <w:numPr>
                <w:ilvl w:val="0"/>
                <w:numId w:val="9"/>
              </w:numPr>
            </w:pPr>
            <w:r>
              <w:t>A commitment to provide the vaccine at no cost to consumers</w:t>
            </w:r>
          </w:p>
        </w:tc>
      </w:tr>
      <w:tr w:rsidR="00684FD0" w14:paraId="6BB0B2A0" w14:textId="77777777" w:rsidTr="00EF4EDE">
        <w:tc>
          <w:tcPr>
            <w:tcW w:w="1419" w:type="dxa"/>
          </w:tcPr>
          <w:p w14:paraId="359B5537" w14:textId="79E0A1CD" w:rsidR="00684FD0" w:rsidRPr="00D408D5" w:rsidRDefault="000A7EF9" w:rsidP="00F7076B">
            <w:pPr>
              <w:rPr>
                <w:i/>
                <w:iCs/>
              </w:rPr>
            </w:pPr>
            <w:r w:rsidRPr="00D408D5">
              <w:rPr>
                <w:i/>
                <w:iCs/>
              </w:rPr>
              <w:t>Data collection</w:t>
            </w:r>
          </w:p>
        </w:tc>
        <w:tc>
          <w:tcPr>
            <w:tcW w:w="3543" w:type="dxa"/>
          </w:tcPr>
          <w:p w14:paraId="062E745E" w14:textId="014A393C" w:rsidR="00684FD0" w:rsidRDefault="006D20A4" w:rsidP="00865084">
            <w:pPr>
              <w:pStyle w:val="ListParagraph"/>
              <w:numPr>
                <w:ilvl w:val="0"/>
                <w:numId w:val="7"/>
              </w:numPr>
            </w:pPr>
            <w:r>
              <w:t xml:space="preserve">Where will </w:t>
            </w:r>
            <w:r w:rsidR="00865084">
              <w:t>the</w:t>
            </w:r>
            <w:r>
              <w:t xml:space="preserve"> record of my COVID-19 vaccination be kept?</w:t>
            </w:r>
          </w:p>
          <w:p w14:paraId="1E868AC6" w14:textId="77777777" w:rsidR="006D20A4" w:rsidRDefault="006D20A4" w:rsidP="00865084">
            <w:pPr>
              <w:pStyle w:val="ListParagraph"/>
              <w:numPr>
                <w:ilvl w:val="0"/>
                <w:numId w:val="7"/>
              </w:numPr>
            </w:pPr>
            <w:r>
              <w:t>Who will have access to that information?</w:t>
            </w:r>
          </w:p>
          <w:p w14:paraId="2320EEA2" w14:textId="4C8E8B65" w:rsidR="006D20A4" w:rsidRDefault="006D20A4" w:rsidP="00865084">
            <w:pPr>
              <w:pStyle w:val="ListParagraph"/>
              <w:numPr>
                <w:ilvl w:val="0"/>
                <w:numId w:val="7"/>
              </w:numPr>
            </w:pPr>
            <w:r>
              <w:t>Will the record of my COVID-19 vaccination be linked to My Health Record?</w:t>
            </w:r>
          </w:p>
        </w:tc>
        <w:tc>
          <w:tcPr>
            <w:tcW w:w="4962" w:type="dxa"/>
          </w:tcPr>
          <w:p w14:paraId="44915451" w14:textId="1A482CA6" w:rsidR="00A94BF8" w:rsidRDefault="002425C1" w:rsidP="00FB64CD">
            <w:pPr>
              <w:spacing w:after="120"/>
            </w:pPr>
            <w:r>
              <w:t xml:space="preserve">The Australian </w:t>
            </w:r>
            <w:r w:rsidR="0058140F">
              <w:t xml:space="preserve">Government has committed to </w:t>
            </w:r>
            <w:r w:rsidR="0058140F" w:rsidRPr="00ED2DE9">
              <w:t>improving critical capacity requirements for the Australian Immunisation Register</w:t>
            </w:r>
            <w:r w:rsidR="00DA523B">
              <w:t xml:space="preserve"> (AIR)</w:t>
            </w:r>
            <w:r w:rsidR="0058140F" w:rsidRPr="00ED2DE9">
              <w:t xml:space="preserve"> as the central resource for recording COVID-19 vaccinations</w:t>
            </w:r>
            <w:r w:rsidR="00BB177C">
              <w:t xml:space="preserve">. </w:t>
            </w:r>
            <w:r w:rsidR="00B4609D">
              <w:t xml:space="preserve">Any health professional who is qualified to deliver COVID-19 vaccines should have access to the </w:t>
            </w:r>
            <w:r w:rsidR="00A94BF8">
              <w:t xml:space="preserve">AIR to ensure </w:t>
            </w:r>
            <w:r w:rsidR="00DA523B">
              <w:t xml:space="preserve">that accurate records can be </w:t>
            </w:r>
            <w:proofErr w:type="gramStart"/>
            <w:r w:rsidR="00DA523B">
              <w:t>kept</w:t>
            </w:r>
            <w:proofErr w:type="gramEnd"/>
            <w:r w:rsidR="00DA523B">
              <w:t xml:space="preserve"> and access is not restricted.</w:t>
            </w:r>
          </w:p>
          <w:p w14:paraId="416F738D" w14:textId="165C76B4" w:rsidR="00684FD0" w:rsidRDefault="00BB177C" w:rsidP="00F7076B">
            <w:r>
              <w:t xml:space="preserve">The funding provided for this work in the MYEFO update should also enable </w:t>
            </w:r>
            <w:r w:rsidR="00CC0BDA">
              <w:t>the record of COVID-19 vaccination to be linked to an individual’s My Health Record with the consumer’s consent.</w:t>
            </w:r>
          </w:p>
        </w:tc>
      </w:tr>
      <w:tr w:rsidR="000A7EF9" w14:paraId="7CC51DC8" w14:textId="77777777" w:rsidTr="00EF4EDE">
        <w:tc>
          <w:tcPr>
            <w:tcW w:w="1419" w:type="dxa"/>
          </w:tcPr>
          <w:p w14:paraId="35D1D331" w14:textId="606096C8" w:rsidR="000A7EF9" w:rsidRPr="00D408D5" w:rsidRDefault="000A7EF9" w:rsidP="00F7076B">
            <w:pPr>
              <w:rPr>
                <w:i/>
                <w:iCs/>
              </w:rPr>
            </w:pPr>
            <w:r w:rsidRPr="00D408D5">
              <w:rPr>
                <w:i/>
                <w:iCs/>
              </w:rPr>
              <w:t>Consumer and community engagement</w:t>
            </w:r>
          </w:p>
        </w:tc>
        <w:tc>
          <w:tcPr>
            <w:tcW w:w="3543" w:type="dxa"/>
          </w:tcPr>
          <w:p w14:paraId="50848BF1" w14:textId="77777777" w:rsidR="000A7EF9" w:rsidRDefault="0058140F" w:rsidP="00B122EE">
            <w:pPr>
              <w:pStyle w:val="ListParagraph"/>
              <w:numPr>
                <w:ilvl w:val="0"/>
                <w:numId w:val="7"/>
              </w:numPr>
            </w:pPr>
            <w:r>
              <w:t xml:space="preserve">How will local communities be involved in </w:t>
            </w:r>
            <w:r w:rsidR="00103DAD">
              <w:t>planning for information and vaccine distribution at the local level?</w:t>
            </w:r>
          </w:p>
          <w:p w14:paraId="1EFADE0C" w14:textId="77777777" w:rsidR="00B122EE" w:rsidRDefault="00B122EE" w:rsidP="00B122EE">
            <w:pPr>
              <w:pStyle w:val="ListParagraph"/>
              <w:numPr>
                <w:ilvl w:val="0"/>
                <w:numId w:val="7"/>
              </w:numPr>
            </w:pPr>
            <w:r>
              <w:t xml:space="preserve">What provision has been made for </w:t>
            </w:r>
            <w:r w:rsidR="00A70B6C">
              <w:t xml:space="preserve">developing </w:t>
            </w:r>
            <w:r>
              <w:t xml:space="preserve">resources </w:t>
            </w:r>
            <w:r w:rsidR="000F113C">
              <w:t xml:space="preserve">and vaccine delivery locations </w:t>
            </w:r>
            <w:r w:rsidR="00A70B6C">
              <w:t xml:space="preserve">that are accessible for people with low health literacy, English as a second language, </w:t>
            </w:r>
            <w:proofErr w:type="gramStart"/>
            <w:r w:rsidR="00A70B6C">
              <w:t>disability</w:t>
            </w:r>
            <w:proofErr w:type="gramEnd"/>
            <w:r w:rsidR="00A70B6C">
              <w:t xml:space="preserve"> and other specific needs?</w:t>
            </w:r>
          </w:p>
          <w:p w14:paraId="4D9FC29C" w14:textId="7769C037" w:rsidR="00C175DA" w:rsidRDefault="00C175DA" w:rsidP="00B122EE">
            <w:pPr>
              <w:pStyle w:val="ListParagraph"/>
              <w:numPr>
                <w:ilvl w:val="0"/>
                <w:numId w:val="7"/>
              </w:numPr>
            </w:pPr>
            <w:r>
              <w:t xml:space="preserve">What activities or actions may be restricted if people are not vaccinated </w:t>
            </w:r>
            <w:r w:rsidR="00DF5B3B">
              <w:t>and how will this be communicated to the community?</w:t>
            </w:r>
          </w:p>
        </w:tc>
        <w:tc>
          <w:tcPr>
            <w:tcW w:w="4962" w:type="dxa"/>
          </w:tcPr>
          <w:p w14:paraId="1842AA12" w14:textId="730F010D" w:rsidR="007A27E7" w:rsidRDefault="00AB18A7" w:rsidP="00FB64CD">
            <w:pPr>
              <w:spacing w:after="120"/>
            </w:pPr>
            <w:r>
              <w:t>All governments and service providers n</w:t>
            </w:r>
            <w:r w:rsidR="00103DAD">
              <w:t>eed to adopt comprehensive local approaches that give communities a voice</w:t>
            </w:r>
            <w:r w:rsidR="00B2101F">
              <w:t xml:space="preserve"> and enable their active participation in the vaccine rollout. </w:t>
            </w:r>
          </w:p>
          <w:p w14:paraId="04F9C347" w14:textId="79D4D669" w:rsidR="000A7EF9" w:rsidRDefault="004971A4" w:rsidP="004971A4">
            <w:r>
              <w:t xml:space="preserve">Consumers are best placed to understand the needs of their local community and </w:t>
            </w:r>
            <w:r w:rsidR="00376A2F">
              <w:t xml:space="preserve">should be provided </w:t>
            </w:r>
            <w:r w:rsidR="00424AC8">
              <w:t xml:space="preserve">with </w:t>
            </w:r>
            <w:r w:rsidR="00376A2F">
              <w:t>the</w:t>
            </w:r>
            <w:r w:rsidR="00103DAD">
              <w:t xml:space="preserve"> necessary resources to put ideas into action.</w:t>
            </w:r>
            <w:r w:rsidR="007A27E7">
              <w:t xml:space="preserve"> We can learn from </w:t>
            </w:r>
            <w:r w:rsidR="00343740">
              <w:t xml:space="preserve">past </w:t>
            </w:r>
            <w:r w:rsidR="007A27E7">
              <w:t>succes</w:t>
            </w:r>
            <w:r w:rsidR="00343740">
              <w:t>ses such as</w:t>
            </w:r>
            <w:r w:rsidR="007A27E7">
              <w:t xml:space="preserve"> public health campaigns </w:t>
            </w:r>
            <w:r w:rsidR="00343740">
              <w:t>to address</w:t>
            </w:r>
            <w:r w:rsidR="007A27E7">
              <w:t xml:space="preserve"> </w:t>
            </w:r>
            <w:r w:rsidR="00343740">
              <w:t>HIV and influenza</w:t>
            </w:r>
            <w:r w:rsidR="00D515C9">
              <w:t>.</w:t>
            </w:r>
          </w:p>
        </w:tc>
      </w:tr>
    </w:tbl>
    <w:p w14:paraId="1C6D8115" w14:textId="77777777" w:rsidR="003D4BA8" w:rsidRDefault="003D4BA8" w:rsidP="003D4BA8">
      <w:pPr>
        <w:spacing w:after="0"/>
      </w:pPr>
    </w:p>
    <w:p w14:paraId="1C71111F" w14:textId="7C6D84F7" w:rsidR="00637403" w:rsidRDefault="00AA4CE1" w:rsidP="00F7076B">
      <w:r>
        <w:t>Across each stage of the process, all information s</w:t>
      </w:r>
      <w:r w:rsidR="000E7F62">
        <w:t>hould be pitched at a level that is understandable for the general community</w:t>
      </w:r>
      <w:r w:rsidR="00C358E5">
        <w:t>, including</w:t>
      </w:r>
      <w:r w:rsidR="000E7F62">
        <w:t xml:space="preserve"> people with low levels of health literacy. Specific resources should be developed to be appropriate for C</w:t>
      </w:r>
      <w:r w:rsidR="00F47C77">
        <w:t xml:space="preserve">ulturally and </w:t>
      </w:r>
      <w:r w:rsidR="000E7F62">
        <w:t>L</w:t>
      </w:r>
      <w:r w:rsidR="00F47C77">
        <w:t xml:space="preserve">inguistically </w:t>
      </w:r>
      <w:r w:rsidR="000E7F62">
        <w:t>D</w:t>
      </w:r>
      <w:r w:rsidR="00F47C77">
        <w:t>iverse (CALD)</w:t>
      </w:r>
      <w:r w:rsidR="000E7F62">
        <w:t xml:space="preserve"> communities, Aboriginal and Torres Strait Islander people and people with a disability</w:t>
      </w:r>
      <w:r w:rsidR="00F47C77">
        <w:t>. T</w:t>
      </w:r>
      <w:r w:rsidR="000E7F62">
        <w:t xml:space="preserve">hese resources should be developed in partnership with </w:t>
      </w:r>
      <w:r w:rsidR="00731F8B">
        <w:t xml:space="preserve">representatives from </w:t>
      </w:r>
      <w:r w:rsidR="000E7F62">
        <w:t>these communities</w:t>
      </w:r>
      <w:r w:rsidR="00494E44">
        <w:t xml:space="preserve"> as well as communication experts</w:t>
      </w:r>
      <w:r w:rsidR="000E7F62">
        <w:t>.</w:t>
      </w:r>
      <w:r w:rsidR="00AE5B67">
        <w:t xml:space="preserve"> Additionally, </w:t>
      </w:r>
      <w:r w:rsidR="00F96106">
        <w:t xml:space="preserve">meaningful engagement with healthcare providers from diverse communities </w:t>
      </w:r>
      <w:r w:rsidR="004D3451">
        <w:t>is likely to be an effective way to achieve high coverage by providing culturally respectful vaccination services.</w:t>
      </w:r>
    </w:p>
    <w:p w14:paraId="6957C2BC" w14:textId="42DE6EFA" w:rsidR="00DA75B6" w:rsidRDefault="00DA75B6" w:rsidP="00C31F47">
      <w:pPr>
        <w:rPr>
          <w:b/>
          <w:bCs/>
          <w:sz w:val="24"/>
          <w:szCs w:val="24"/>
        </w:rPr>
      </w:pPr>
      <w:r w:rsidRPr="00183559">
        <w:rPr>
          <w:b/>
          <w:bCs/>
          <w:sz w:val="24"/>
          <w:szCs w:val="24"/>
        </w:rPr>
        <w:t>COMMUNICATION STRATEGY</w:t>
      </w:r>
    </w:p>
    <w:p w14:paraId="0EF23098" w14:textId="1A306191" w:rsidR="00183559" w:rsidRDefault="00731F8B" w:rsidP="00C31F47">
      <w:r>
        <w:t xml:space="preserve">Alongside the technical and logistical considerations, the </w:t>
      </w:r>
      <w:r w:rsidR="005F676D">
        <w:t>communication strategy is a critical element for ensuring the community has confidence in any COVID-19 vaccine.</w:t>
      </w:r>
      <w:r w:rsidR="00C60C40">
        <w:t xml:space="preserve"> </w:t>
      </w:r>
      <w:r w:rsidR="00360CBB">
        <w:t xml:space="preserve">Funding of $23.9 million </w:t>
      </w:r>
      <w:r w:rsidR="00C60C40">
        <w:t>has been made available</w:t>
      </w:r>
      <w:r w:rsidR="00360CBB">
        <w:t xml:space="preserve"> in </w:t>
      </w:r>
      <w:r w:rsidR="009F6F0F">
        <w:t xml:space="preserve">Commonwealth’s </w:t>
      </w:r>
      <w:r w:rsidR="00C60C40">
        <w:t xml:space="preserve">2020-21 </w:t>
      </w:r>
      <w:r w:rsidR="00360CBB">
        <w:t xml:space="preserve">MYEFO </w:t>
      </w:r>
      <w:r w:rsidR="00C60C40">
        <w:t xml:space="preserve">update </w:t>
      </w:r>
      <w:r w:rsidR="00360CBB">
        <w:t xml:space="preserve">to support an information campaign </w:t>
      </w:r>
      <w:r w:rsidR="00360CBB" w:rsidRPr="00ED2DE9">
        <w:t xml:space="preserve">to explain the regulatory processes, the priority groups, </w:t>
      </w:r>
      <w:proofErr w:type="gramStart"/>
      <w:r w:rsidR="00360CBB" w:rsidRPr="00ED2DE9">
        <w:t>timing</w:t>
      </w:r>
      <w:proofErr w:type="gramEnd"/>
      <w:r w:rsidR="00360CBB" w:rsidRPr="00ED2DE9">
        <w:t xml:space="preserve"> and rollout to assist people </w:t>
      </w:r>
      <w:r w:rsidR="009C5750">
        <w:t>in</w:t>
      </w:r>
      <w:r w:rsidR="00360CBB" w:rsidRPr="00ED2DE9">
        <w:t xml:space="preserve"> understand</w:t>
      </w:r>
      <w:r w:rsidR="009C5750">
        <w:t>ing</w:t>
      </w:r>
      <w:r w:rsidR="00360CBB" w:rsidRPr="00ED2DE9">
        <w:t xml:space="preserve"> how the vaccines work, and to be ready for when they can receive the vaccine</w:t>
      </w:r>
      <w:r w:rsidR="00597424">
        <w:t>.</w:t>
      </w:r>
      <w:r w:rsidR="002F2AEE">
        <w:t xml:space="preserve"> </w:t>
      </w:r>
    </w:p>
    <w:p w14:paraId="3A7EBD76" w14:textId="2B371FE0" w:rsidR="00B82FC6" w:rsidRDefault="00EB2655" w:rsidP="00CC75D7">
      <w:r>
        <w:t xml:space="preserve">CHF supports the </w:t>
      </w:r>
      <w:r w:rsidR="009F6F0F">
        <w:t xml:space="preserve">Australian </w:t>
      </w:r>
      <w:r>
        <w:t>Government’s commitment that the</w:t>
      </w:r>
      <w:r w:rsidR="009B2D0E" w:rsidRPr="00ED2DE9">
        <w:t xml:space="preserve"> communication</w:t>
      </w:r>
      <w:r>
        <w:t xml:space="preserve"> </w:t>
      </w:r>
      <w:r w:rsidR="00346B94">
        <w:t>plan</w:t>
      </w:r>
      <w:r w:rsidR="009B2D0E" w:rsidRPr="00ED2DE9">
        <w:t xml:space="preserve"> will include a national advertising campaign and communication specifically targeting priority groups, culturally and linguistically diverse (CALD) groups and Aboriginal and Torres Strait Islander people.</w:t>
      </w:r>
      <w:r w:rsidR="00346B94">
        <w:t xml:space="preserve"> </w:t>
      </w:r>
      <w:r w:rsidR="00CC75D7">
        <w:t>As there are roles for the Commonwealth and states and territories in the vaccine roll out there needs to be high levels of cooperation,</w:t>
      </w:r>
      <w:r w:rsidR="00593F29">
        <w:t xml:space="preserve"> </w:t>
      </w:r>
      <w:r w:rsidR="00CC75D7">
        <w:t>coordination</w:t>
      </w:r>
      <w:r w:rsidR="00593F29">
        <w:t>,</w:t>
      </w:r>
      <w:r w:rsidR="00CC75D7">
        <w:t xml:space="preserve"> and effective governance </w:t>
      </w:r>
      <w:r w:rsidR="00593F29">
        <w:t>between governments</w:t>
      </w:r>
      <w:r w:rsidR="00CC75D7">
        <w:t xml:space="preserve">. </w:t>
      </w:r>
      <w:r w:rsidR="00B82FC6">
        <w:t xml:space="preserve">The communication strategy must include provision for the use of different communication forms and mediums, principles for open, </w:t>
      </w:r>
      <w:proofErr w:type="gramStart"/>
      <w:r w:rsidR="00B82FC6">
        <w:t>clear</w:t>
      </w:r>
      <w:proofErr w:type="gramEnd"/>
      <w:r w:rsidR="00B82FC6">
        <w:t xml:space="preserve"> and respectful communication, and how the strategy will adapt as the COVID-19 pandemic evolves and the situation changes.</w:t>
      </w:r>
    </w:p>
    <w:p w14:paraId="0A784B80" w14:textId="7CFE5C83" w:rsidR="00A75140" w:rsidRPr="00FF2808" w:rsidRDefault="00346B94" w:rsidP="00C31F47">
      <w:r>
        <w:t xml:space="preserve">We also highlight the need for </w:t>
      </w:r>
      <w:r w:rsidR="00EA7592">
        <w:t xml:space="preserve">community-led strategies </w:t>
      </w:r>
      <w:r w:rsidR="004E17B9">
        <w:t xml:space="preserve">that use diverse media and communication platforms </w:t>
      </w:r>
      <w:r>
        <w:t>to</w:t>
      </w:r>
      <w:r w:rsidR="00EA7592">
        <w:t xml:space="preserve"> ensure diverse local voices are heard, map local concerns and alliances, and co</w:t>
      </w:r>
      <w:r w:rsidR="002757B7">
        <w:t>-</w:t>
      </w:r>
      <w:r w:rsidR="00EA7592">
        <w:t>design programmes to maximise vaccine uptake from the ground up</w:t>
      </w:r>
      <w:r w:rsidR="002757B7">
        <w:t>.</w:t>
      </w:r>
      <w:r w:rsidR="003358C1">
        <w:t xml:space="preserve"> We know that participatory community engagement is cost-effective, increases uptake of vaccines, and substantially reduces health-care resources needed to achieve high vaccination coverage.</w:t>
      </w:r>
      <w:r w:rsidR="007D2E64">
        <w:rPr>
          <w:rStyle w:val="FootnoteReference"/>
        </w:rPr>
        <w:footnoteReference w:id="6"/>
      </w:r>
      <w:r w:rsidR="00B82FC6">
        <w:t xml:space="preserve"> </w:t>
      </w:r>
      <w:r w:rsidR="002757B7">
        <w:t>To implement a community-led approach, p</w:t>
      </w:r>
      <w:r w:rsidR="001A4E53">
        <w:t>olicy makers must accelerate dialogue and support the development of community networks, leveraging and supporting existing local channels that influence decision making, such as community and faith leaders, teachers, sports and youth clubs, and online communities and networks.</w:t>
      </w:r>
      <w:r w:rsidR="007D2E64">
        <w:rPr>
          <w:rStyle w:val="FootnoteReference"/>
        </w:rPr>
        <w:footnoteReference w:id="7"/>
      </w:r>
    </w:p>
    <w:sectPr w:rsidR="00A75140" w:rsidRPr="00FF280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6266F" w14:textId="77777777" w:rsidR="002D5E93" w:rsidRDefault="002D5E93" w:rsidP="00183559">
      <w:pPr>
        <w:spacing w:after="0" w:line="240" w:lineRule="auto"/>
      </w:pPr>
      <w:r>
        <w:separator/>
      </w:r>
    </w:p>
  </w:endnote>
  <w:endnote w:type="continuationSeparator" w:id="0">
    <w:p w14:paraId="1C23CC2E" w14:textId="77777777" w:rsidR="002D5E93" w:rsidRDefault="002D5E93" w:rsidP="00183559">
      <w:pPr>
        <w:spacing w:after="0" w:line="240" w:lineRule="auto"/>
      </w:pPr>
      <w:r>
        <w:continuationSeparator/>
      </w:r>
    </w:p>
  </w:endnote>
  <w:endnote w:type="continuationNotice" w:id="1">
    <w:p w14:paraId="15D7EBD3" w14:textId="77777777" w:rsidR="002D5E93" w:rsidRDefault="002D5E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9083444"/>
      <w:docPartObj>
        <w:docPartGallery w:val="Page Numbers (Bottom of Page)"/>
        <w:docPartUnique/>
      </w:docPartObj>
    </w:sdtPr>
    <w:sdtEndPr>
      <w:rPr>
        <w:noProof/>
      </w:rPr>
    </w:sdtEndPr>
    <w:sdtContent>
      <w:p w14:paraId="2519F5F7" w14:textId="779E4C3C" w:rsidR="000469B7" w:rsidRDefault="000469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6A2F20" w14:textId="77777777" w:rsidR="000469B7" w:rsidRDefault="00046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43F0D" w14:textId="77777777" w:rsidR="002D5E93" w:rsidRDefault="002D5E93" w:rsidP="00183559">
      <w:pPr>
        <w:spacing w:after="0" w:line="240" w:lineRule="auto"/>
      </w:pPr>
      <w:r>
        <w:separator/>
      </w:r>
    </w:p>
  </w:footnote>
  <w:footnote w:type="continuationSeparator" w:id="0">
    <w:p w14:paraId="7EC40872" w14:textId="77777777" w:rsidR="002D5E93" w:rsidRDefault="002D5E93" w:rsidP="00183559">
      <w:pPr>
        <w:spacing w:after="0" w:line="240" w:lineRule="auto"/>
      </w:pPr>
      <w:r>
        <w:continuationSeparator/>
      </w:r>
    </w:p>
  </w:footnote>
  <w:footnote w:type="continuationNotice" w:id="1">
    <w:p w14:paraId="22A12F26" w14:textId="77777777" w:rsidR="002D5E93" w:rsidRDefault="002D5E93">
      <w:pPr>
        <w:spacing w:after="0" w:line="240" w:lineRule="auto"/>
      </w:pPr>
    </w:p>
  </w:footnote>
  <w:footnote w:id="2">
    <w:p w14:paraId="5056AADC" w14:textId="6B187F50" w:rsidR="00183559" w:rsidRPr="003E1BA2" w:rsidRDefault="00183559">
      <w:pPr>
        <w:pStyle w:val="FootnoteText"/>
        <w:rPr>
          <w:i/>
          <w:iCs/>
          <w:sz w:val="18"/>
          <w:szCs w:val="18"/>
        </w:rPr>
      </w:pPr>
      <w:r w:rsidRPr="003E1BA2">
        <w:rPr>
          <w:rStyle w:val="FootnoteReference"/>
          <w:sz w:val="18"/>
          <w:szCs w:val="18"/>
        </w:rPr>
        <w:footnoteRef/>
      </w:r>
      <w:r w:rsidRPr="003E1BA2">
        <w:rPr>
          <w:sz w:val="18"/>
          <w:szCs w:val="18"/>
        </w:rPr>
        <w:t xml:space="preserve"> CHF. (2020). </w:t>
      </w:r>
      <w:r w:rsidRPr="003E1BA2">
        <w:rPr>
          <w:i/>
          <w:iCs/>
          <w:sz w:val="18"/>
          <w:szCs w:val="18"/>
        </w:rPr>
        <w:t>Ethical Issues Arising from the COVID-19 Pandemic: Consumer Position Statement</w:t>
      </w:r>
      <w:r w:rsidRPr="003E1BA2">
        <w:rPr>
          <w:sz w:val="18"/>
          <w:szCs w:val="18"/>
        </w:rPr>
        <w:t xml:space="preserve">. CHF: Canberra. Accessed 18 December 2020: </w:t>
      </w:r>
      <w:hyperlink r:id="rId1" w:history="1">
        <w:r w:rsidRPr="003E1BA2">
          <w:rPr>
            <w:rStyle w:val="Hyperlink"/>
            <w:sz w:val="18"/>
            <w:szCs w:val="18"/>
          </w:rPr>
          <w:t>https://chf.org.au/sites/default/files/docs/consumer_position_statement_-_ethical_issues_arising_from_the_covid-19_pandemic_final.pdf</w:t>
        </w:r>
      </w:hyperlink>
    </w:p>
  </w:footnote>
  <w:footnote w:id="3">
    <w:p w14:paraId="2321A6FC" w14:textId="7AAB28D6" w:rsidR="00C7030A" w:rsidRPr="008C6E10" w:rsidRDefault="00C7030A">
      <w:pPr>
        <w:pStyle w:val="FootnoteText"/>
      </w:pPr>
      <w:r>
        <w:rPr>
          <w:rStyle w:val="FootnoteReference"/>
        </w:rPr>
        <w:footnoteRef/>
      </w:r>
      <w:r>
        <w:t xml:space="preserve"> </w:t>
      </w:r>
      <w:r w:rsidR="006E33E6" w:rsidRPr="0072619E">
        <w:rPr>
          <w:sz w:val="18"/>
          <w:szCs w:val="18"/>
        </w:rPr>
        <w:t xml:space="preserve">Seale H, Leask J, Danchin M, Attwell K, Clark K, Cashman P, Frawley J, Kaufman J, Wiley K, for the Collaboration on Social Science in Immunisation. </w:t>
      </w:r>
      <w:r w:rsidR="0072619E">
        <w:rPr>
          <w:sz w:val="18"/>
          <w:szCs w:val="18"/>
        </w:rPr>
        <w:t xml:space="preserve">(November 2020). </w:t>
      </w:r>
      <w:r w:rsidR="006E33E6" w:rsidRPr="0072619E">
        <w:rPr>
          <w:sz w:val="18"/>
          <w:szCs w:val="18"/>
        </w:rPr>
        <w:t>A COVID-19 vaccination strategy to support uptake amongst Australians: Working paper.</w:t>
      </w:r>
      <w:r w:rsidR="0072619E">
        <w:rPr>
          <w:sz w:val="18"/>
          <w:szCs w:val="18"/>
        </w:rPr>
        <w:t xml:space="preserve"> Accessed at: </w:t>
      </w:r>
      <w:hyperlink r:id="rId2" w:history="1">
        <w:r w:rsidR="00FE296E" w:rsidRPr="000C3497">
          <w:rPr>
            <w:rStyle w:val="Hyperlink"/>
            <w:sz w:val="18"/>
            <w:szCs w:val="18"/>
          </w:rPr>
          <w:t>https://www.ncirs.org.au/cossi/cossi-reports-and-publications</w:t>
        </w:r>
      </w:hyperlink>
      <w:r w:rsidR="00FE296E">
        <w:rPr>
          <w:sz w:val="18"/>
          <w:szCs w:val="18"/>
        </w:rPr>
        <w:t xml:space="preserve"> </w:t>
      </w:r>
    </w:p>
  </w:footnote>
  <w:footnote w:id="4">
    <w:p w14:paraId="6D48CB6E" w14:textId="11950172" w:rsidR="005D5E56" w:rsidRPr="00886F9D" w:rsidRDefault="005D5E56" w:rsidP="00235882">
      <w:pPr>
        <w:pStyle w:val="FootnoteText"/>
      </w:pPr>
      <w:r w:rsidRPr="003E1BA2">
        <w:rPr>
          <w:rStyle w:val="FootnoteReference"/>
          <w:sz w:val="18"/>
          <w:szCs w:val="18"/>
        </w:rPr>
        <w:footnoteRef/>
      </w:r>
      <w:r w:rsidRPr="003E1BA2">
        <w:rPr>
          <w:sz w:val="18"/>
          <w:szCs w:val="18"/>
        </w:rPr>
        <w:t xml:space="preserve"> </w:t>
      </w:r>
      <w:r w:rsidR="007F6C3C" w:rsidRPr="003E1BA2">
        <w:rPr>
          <w:sz w:val="18"/>
          <w:szCs w:val="18"/>
        </w:rPr>
        <w:t xml:space="preserve">Burgess et al. (2020). </w:t>
      </w:r>
      <w:r w:rsidR="00C86897" w:rsidRPr="003E1BA2">
        <w:rPr>
          <w:sz w:val="18"/>
          <w:szCs w:val="18"/>
        </w:rPr>
        <w:t xml:space="preserve">The COVID-19 vaccines rush: participatory community engagement matters more than ever. </w:t>
      </w:r>
      <w:r w:rsidR="00C86897" w:rsidRPr="003E1BA2">
        <w:rPr>
          <w:i/>
          <w:iCs/>
          <w:sz w:val="18"/>
          <w:szCs w:val="18"/>
        </w:rPr>
        <w:t>The Lancet</w:t>
      </w:r>
      <w:r w:rsidR="00886F9D" w:rsidRPr="003E1BA2">
        <w:rPr>
          <w:sz w:val="18"/>
          <w:szCs w:val="18"/>
        </w:rPr>
        <w:t xml:space="preserve">. </w:t>
      </w:r>
      <w:r w:rsidR="00235882" w:rsidRPr="003E1BA2">
        <w:rPr>
          <w:sz w:val="18"/>
          <w:szCs w:val="18"/>
        </w:rPr>
        <w:t xml:space="preserve">Published online 10 December 2020. DOI: </w:t>
      </w:r>
      <w:hyperlink r:id="rId3" w:history="1">
        <w:r w:rsidR="00235882" w:rsidRPr="003E1BA2">
          <w:rPr>
            <w:rStyle w:val="Hyperlink"/>
            <w:sz w:val="18"/>
            <w:szCs w:val="18"/>
          </w:rPr>
          <w:t>https://doi.org/10.1016/S0140-6736(20)32642-8</w:t>
        </w:r>
      </w:hyperlink>
      <w:r w:rsidR="00235882">
        <w:t xml:space="preserve"> </w:t>
      </w:r>
    </w:p>
  </w:footnote>
  <w:footnote w:id="5">
    <w:p w14:paraId="2AB7EF16" w14:textId="246F941B" w:rsidR="00D515C9" w:rsidRDefault="00D515C9">
      <w:pPr>
        <w:pStyle w:val="FootnoteText"/>
      </w:pPr>
      <w:r w:rsidRPr="00EF1949">
        <w:rPr>
          <w:rStyle w:val="FootnoteReference"/>
          <w:sz w:val="18"/>
          <w:szCs w:val="18"/>
        </w:rPr>
        <w:footnoteRef/>
      </w:r>
      <w:r w:rsidRPr="00EF1949">
        <w:rPr>
          <w:sz w:val="18"/>
          <w:szCs w:val="18"/>
        </w:rPr>
        <w:t xml:space="preserve"> </w:t>
      </w:r>
      <w:r w:rsidR="0008588D">
        <w:rPr>
          <w:sz w:val="18"/>
          <w:szCs w:val="18"/>
        </w:rPr>
        <w:t>CHF</w:t>
      </w:r>
      <w:r w:rsidRPr="00EF1949">
        <w:rPr>
          <w:sz w:val="18"/>
          <w:szCs w:val="18"/>
        </w:rPr>
        <w:t xml:space="preserve"> note</w:t>
      </w:r>
      <w:r w:rsidR="0008588D">
        <w:rPr>
          <w:sz w:val="18"/>
          <w:szCs w:val="18"/>
        </w:rPr>
        <w:t>s</w:t>
      </w:r>
      <w:r w:rsidRPr="00EF1949">
        <w:rPr>
          <w:sz w:val="18"/>
          <w:szCs w:val="18"/>
        </w:rPr>
        <w:t xml:space="preserve"> the T</w:t>
      </w:r>
      <w:r w:rsidR="00084878">
        <w:rPr>
          <w:sz w:val="18"/>
          <w:szCs w:val="18"/>
        </w:rPr>
        <w:t xml:space="preserve">herapeutic </w:t>
      </w:r>
      <w:r w:rsidRPr="00EF1949">
        <w:rPr>
          <w:sz w:val="18"/>
          <w:szCs w:val="18"/>
        </w:rPr>
        <w:t>G</w:t>
      </w:r>
      <w:r w:rsidR="00084878">
        <w:rPr>
          <w:sz w:val="18"/>
          <w:szCs w:val="18"/>
        </w:rPr>
        <w:t xml:space="preserve">oods </w:t>
      </w:r>
      <w:r w:rsidRPr="00EF1949">
        <w:rPr>
          <w:sz w:val="18"/>
          <w:szCs w:val="18"/>
        </w:rPr>
        <w:t>A</w:t>
      </w:r>
      <w:r w:rsidR="00084878">
        <w:rPr>
          <w:sz w:val="18"/>
          <w:szCs w:val="18"/>
        </w:rPr>
        <w:t>dministration (TGA)</w:t>
      </w:r>
      <w:r w:rsidR="00D76C0C" w:rsidRPr="00EF1949">
        <w:rPr>
          <w:sz w:val="18"/>
          <w:szCs w:val="18"/>
        </w:rPr>
        <w:t xml:space="preserve"> is not providing an emergency use authorisation </w:t>
      </w:r>
      <w:r w:rsidR="00463A7C">
        <w:rPr>
          <w:sz w:val="18"/>
          <w:szCs w:val="18"/>
        </w:rPr>
        <w:t>akin to those</w:t>
      </w:r>
      <w:r w:rsidR="00D76C0C" w:rsidRPr="00EF1949">
        <w:rPr>
          <w:sz w:val="18"/>
          <w:szCs w:val="18"/>
        </w:rPr>
        <w:t xml:space="preserve"> being used in the </w:t>
      </w:r>
      <w:r w:rsidR="0019231E" w:rsidRPr="00EF1949">
        <w:rPr>
          <w:sz w:val="18"/>
          <w:szCs w:val="18"/>
        </w:rPr>
        <w:t xml:space="preserve">USA and UK and instead is providing approval through the </w:t>
      </w:r>
      <w:r w:rsidR="00463A7C">
        <w:rPr>
          <w:sz w:val="18"/>
          <w:szCs w:val="18"/>
        </w:rPr>
        <w:t xml:space="preserve">regular </w:t>
      </w:r>
      <w:r w:rsidR="0019231E" w:rsidRPr="00EF1949">
        <w:rPr>
          <w:sz w:val="18"/>
          <w:szCs w:val="18"/>
        </w:rPr>
        <w:t xml:space="preserve">provisional approval pathway. </w:t>
      </w:r>
      <w:r w:rsidR="00EF1949" w:rsidRPr="00EF1949">
        <w:rPr>
          <w:sz w:val="18"/>
          <w:szCs w:val="18"/>
        </w:rPr>
        <w:t>To register a COVID-19 vaccine in Australia, a sponsor is required to submit a comprehensive dossier that includes specific information on clinical studies, non-clinical/toxicology studies, chemistry, manufacturing, risk management and other information.</w:t>
      </w:r>
      <w:r w:rsidR="00383629">
        <w:rPr>
          <w:sz w:val="18"/>
          <w:szCs w:val="18"/>
        </w:rPr>
        <w:t xml:space="preserve"> The decision to approve a vaccine is always made on the basis that the benefits outweigh the risks</w:t>
      </w:r>
      <w:r w:rsidR="00C50205">
        <w:rPr>
          <w:sz w:val="18"/>
          <w:szCs w:val="18"/>
        </w:rPr>
        <w:t>.</w:t>
      </w:r>
    </w:p>
  </w:footnote>
  <w:footnote w:id="6">
    <w:p w14:paraId="750E8511" w14:textId="5A6874FA" w:rsidR="007D2E64" w:rsidRPr="003E1BA2" w:rsidRDefault="007D2E64">
      <w:pPr>
        <w:pStyle w:val="FootnoteText"/>
        <w:rPr>
          <w:sz w:val="18"/>
          <w:szCs w:val="18"/>
        </w:rPr>
      </w:pPr>
      <w:r w:rsidRPr="003E1BA2">
        <w:rPr>
          <w:rStyle w:val="FootnoteReference"/>
          <w:sz w:val="18"/>
          <w:szCs w:val="18"/>
        </w:rPr>
        <w:footnoteRef/>
      </w:r>
      <w:r w:rsidRPr="003E1BA2">
        <w:rPr>
          <w:sz w:val="18"/>
          <w:szCs w:val="18"/>
        </w:rPr>
        <w:t xml:space="preserve"> Burgess et al. (2020). The COVID-19 vaccines rush: participatory community engagement matters more than ever. </w:t>
      </w:r>
      <w:r w:rsidRPr="003E1BA2">
        <w:rPr>
          <w:i/>
          <w:iCs/>
          <w:sz w:val="18"/>
          <w:szCs w:val="18"/>
        </w:rPr>
        <w:t>The Lancet</w:t>
      </w:r>
      <w:r w:rsidRPr="003E1BA2">
        <w:rPr>
          <w:sz w:val="18"/>
          <w:szCs w:val="18"/>
        </w:rPr>
        <w:t xml:space="preserve">. Published online 10 December 2020. DOI: </w:t>
      </w:r>
      <w:hyperlink r:id="rId4" w:history="1">
        <w:r w:rsidRPr="003E1BA2">
          <w:rPr>
            <w:rStyle w:val="Hyperlink"/>
            <w:sz w:val="18"/>
            <w:szCs w:val="18"/>
          </w:rPr>
          <w:t>https://doi.org/10.1016/S0140-6736(20)32642-8</w:t>
        </w:r>
      </w:hyperlink>
    </w:p>
  </w:footnote>
  <w:footnote w:id="7">
    <w:p w14:paraId="1C4A2E2B" w14:textId="6603F11D" w:rsidR="007D2E64" w:rsidRDefault="007D2E64">
      <w:pPr>
        <w:pStyle w:val="FootnoteText"/>
      </w:pPr>
      <w:r w:rsidRPr="003E1BA2">
        <w:rPr>
          <w:rStyle w:val="FootnoteReference"/>
          <w:sz w:val="18"/>
          <w:szCs w:val="18"/>
        </w:rPr>
        <w:footnoteRef/>
      </w:r>
      <w:r w:rsidRPr="003E1BA2">
        <w:rPr>
          <w:sz w:val="18"/>
          <w:szCs w:val="18"/>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279E9"/>
    <w:multiLevelType w:val="hybridMultilevel"/>
    <w:tmpl w:val="71C4D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21C97"/>
    <w:multiLevelType w:val="hybridMultilevel"/>
    <w:tmpl w:val="1B4C7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1DC772C"/>
    <w:multiLevelType w:val="hybridMultilevel"/>
    <w:tmpl w:val="2AC8A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CF6090"/>
    <w:multiLevelType w:val="hybridMultilevel"/>
    <w:tmpl w:val="75441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1E0291"/>
    <w:multiLevelType w:val="hybridMultilevel"/>
    <w:tmpl w:val="30E2A5D8"/>
    <w:lvl w:ilvl="0" w:tplc="011E212C">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7BD69D8"/>
    <w:multiLevelType w:val="hybridMultilevel"/>
    <w:tmpl w:val="B7F84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5837BF"/>
    <w:multiLevelType w:val="hybridMultilevel"/>
    <w:tmpl w:val="6E366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06A1D8E"/>
    <w:multiLevelType w:val="hybridMultilevel"/>
    <w:tmpl w:val="182CC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C155E2"/>
    <w:multiLevelType w:val="hybridMultilevel"/>
    <w:tmpl w:val="12801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7"/>
  </w:num>
  <w:num w:numId="6">
    <w:abstractNumId w:val="2"/>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47"/>
    <w:rsid w:val="00022178"/>
    <w:rsid w:val="00033228"/>
    <w:rsid w:val="00037848"/>
    <w:rsid w:val="000469B7"/>
    <w:rsid w:val="000547B5"/>
    <w:rsid w:val="00063AAB"/>
    <w:rsid w:val="00070D35"/>
    <w:rsid w:val="000820C3"/>
    <w:rsid w:val="00084878"/>
    <w:rsid w:val="0008588D"/>
    <w:rsid w:val="000A1B77"/>
    <w:rsid w:val="000A6920"/>
    <w:rsid w:val="000A6ECD"/>
    <w:rsid w:val="000A7EF9"/>
    <w:rsid w:val="000D1062"/>
    <w:rsid w:val="000D549D"/>
    <w:rsid w:val="000E6609"/>
    <w:rsid w:val="000E7F62"/>
    <w:rsid w:val="000F113C"/>
    <w:rsid w:val="00103DAD"/>
    <w:rsid w:val="00105173"/>
    <w:rsid w:val="00113BA1"/>
    <w:rsid w:val="001156E5"/>
    <w:rsid w:val="00137C1A"/>
    <w:rsid w:val="001718B3"/>
    <w:rsid w:val="00172047"/>
    <w:rsid w:val="00174295"/>
    <w:rsid w:val="00176E05"/>
    <w:rsid w:val="00183559"/>
    <w:rsid w:val="0019231E"/>
    <w:rsid w:val="0019248A"/>
    <w:rsid w:val="001924B4"/>
    <w:rsid w:val="00192DE2"/>
    <w:rsid w:val="001A4E53"/>
    <w:rsid w:val="001A6564"/>
    <w:rsid w:val="001B7161"/>
    <w:rsid w:val="001C429B"/>
    <w:rsid w:val="001D4C89"/>
    <w:rsid w:val="001E0A0B"/>
    <w:rsid w:val="001E2A6D"/>
    <w:rsid w:val="001F6308"/>
    <w:rsid w:val="001F7E7C"/>
    <w:rsid w:val="00202370"/>
    <w:rsid w:val="002125CC"/>
    <w:rsid w:val="00230C97"/>
    <w:rsid w:val="00235882"/>
    <w:rsid w:val="00236E95"/>
    <w:rsid w:val="002425C1"/>
    <w:rsid w:val="00254C00"/>
    <w:rsid w:val="00255455"/>
    <w:rsid w:val="002711D4"/>
    <w:rsid w:val="002757B7"/>
    <w:rsid w:val="00285E85"/>
    <w:rsid w:val="002A03C1"/>
    <w:rsid w:val="002A4DF9"/>
    <w:rsid w:val="002A6828"/>
    <w:rsid w:val="002B7D05"/>
    <w:rsid w:val="002D1CBE"/>
    <w:rsid w:val="002D5E93"/>
    <w:rsid w:val="002D61BE"/>
    <w:rsid w:val="002E21C7"/>
    <w:rsid w:val="002F2AEE"/>
    <w:rsid w:val="002F48EA"/>
    <w:rsid w:val="0030303C"/>
    <w:rsid w:val="00303EC2"/>
    <w:rsid w:val="00306758"/>
    <w:rsid w:val="00316FB0"/>
    <w:rsid w:val="003358C1"/>
    <w:rsid w:val="00343740"/>
    <w:rsid w:val="00346B94"/>
    <w:rsid w:val="00356C10"/>
    <w:rsid w:val="00360CBB"/>
    <w:rsid w:val="00372BCE"/>
    <w:rsid w:val="0037467E"/>
    <w:rsid w:val="00376A2F"/>
    <w:rsid w:val="00383629"/>
    <w:rsid w:val="00384093"/>
    <w:rsid w:val="00385AE0"/>
    <w:rsid w:val="0038792C"/>
    <w:rsid w:val="003A57A2"/>
    <w:rsid w:val="003B0761"/>
    <w:rsid w:val="003B6910"/>
    <w:rsid w:val="003D4BA8"/>
    <w:rsid w:val="003E1BA2"/>
    <w:rsid w:val="003F1117"/>
    <w:rsid w:val="00410404"/>
    <w:rsid w:val="00410C61"/>
    <w:rsid w:val="0041471F"/>
    <w:rsid w:val="00424AC8"/>
    <w:rsid w:val="004303D9"/>
    <w:rsid w:val="004308A5"/>
    <w:rsid w:val="00431B8D"/>
    <w:rsid w:val="004454DD"/>
    <w:rsid w:val="00450B9F"/>
    <w:rsid w:val="00454F4F"/>
    <w:rsid w:val="00463A7C"/>
    <w:rsid w:val="004702CC"/>
    <w:rsid w:val="00484CD8"/>
    <w:rsid w:val="00494E44"/>
    <w:rsid w:val="004971A4"/>
    <w:rsid w:val="004D22B2"/>
    <w:rsid w:val="004D3451"/>
    <w:rsid w:val="004E17B9"/>
    <w:rsid w:val="004E7519"/>
    <w:rsid w:val="004E76B6"/>
    <w:rsid w:val="004F51C4"/>
    <w:rsid w:val="004F6F1C"/>
    <w:rsid w:val="00502582"/>
    <w:rsid w:val="005174A0"/>
    <w:rsid w:val="00521524"/>
    <w:rsid w:val="00530C31"/>
    <w:rsid w:val="00535D04"/>
    <w:rsid w:val="005505B6"/>
    <w:rsid w:val="00550A52"/>
    <w:rsid w:val="005527FB"/>
    <w:rsid w:val="00556ED7"/>
    <w:rsid w:val="00565655"/>
    <w:rsid w:val="00565AB9"/>
    <w:rsid w:val="0057513F"/>
    <w:rsid w:val="00577447"/>
    <w:rsid w:val="0058140F"/>
    <w:rsid w:val="00592E10"/>
    <w:rsid w:val="00593F29"/>
    <w:rsid w:val="00597424"/>
    <w:rsid w:val="005A33EA"/>
    <w:rsid w:val="005A6A6E"/>
    <w:rsid w:val="005B0048"/>
    <w:rsid w:val="005B143F"/>
    <w:rsid w:val="005C26AA"/>
    <w:rsid w:val="005C4F3B"/>
    <w:rsid w:val="005D5E56"/>
    <w:rsid w:val="005E5EE5"/>
    <w:rsid w:val="005E6EDF"/>
    <w:rsid w:val="005E76C4"/>
    <w:rsid w:val="005F2DB9"/>
    <w:rsid w:val="005F2DF7"/>
    <w:rsid w:val="005F676D"/>
    <w:rsid w:val="006130EF"/>
    <w:rsid w:val="00636D3F"/>
    <w:rsid w:val="00637403"/>
    <w:rsid w:val="00664E48"/>
    <w:rsid w:val="00666B85"/>
    <w:rsid w:val="00666C4E"/>
    <w:rsid w:val="00670839"/>
    <w:rsid w:val="00684FD0"/>
    <w:rsid w:val="006A4E8C"/>
    <w:rsid w:val="006A78C8"/>
    <w:rsid w:val="006B2304"/>
    <w:rsid w:val="006B2366"/>
    <w:rsid w:val="006D20A4"/>
    <w:rsid w:val="006D35BE"/>
    <w:rsid w:val="006E2DB7"/>
    <w:rsid w:val="006E33E6"/>
    <w:rsid w:val="006E38B9"/>
    <w:rsid w:val="006E540C"/>
    <w:rsid w:val="006F72BC"/>
    <w:rsid w:val="007138D8"/>
    <w:rsid w:val="007254E3"/>
    <w:rsid w:val="0072619E"/>
    <w:rsid w:val="00731F8B"/>
    <w:rsid w:val="007339C0"/>
    <w:rsid w:val="007477AF"/>
    <w:rsid w:val="007630E2"/>
    <w:rsid w:val="007652D9"/>
    <w:rsid w:val="00770140"/>
    <w:rsid w:val="007A05F9"/>
    <w:rsid w:val="007A27E7"/>
    <w:rsid w:val="007A4774"/>
    <w:rsid w:val="007B3D23"/>
    <w:rsid w:val="007D21F0"/>
    <w:rsid w:val="007D2E64"/>
    <w:rsid w:val="007F61C0"/>
    <w:rsid w:val="007F6C3C"/>
    <w:rsid w:val="00806D23"/>
    <w:rsid w:val="0084133A"/>
    <w:rsid w:val="00851328"/>
    <w:rsid w:val="00863A50"/>
    <w:rsid w:val="00865084"/>
    <w:rsid w:val="00872FF3"/>
    <w:rsid w:val="0087766C"/>
    <w:rsid w:val="0088344C"/>
    <w:rsid w:val="00886F9D"/>
    <w:rsid w:val="008872ED"/>
    <w:rsid w:val="00892CCA"/>
    <w:rsid w:val="00896686"/>
    <w:rsid w:val="008A742F"/>
    <w:rsid w:val="008B43CE"/>
    <w:rsid w:val="008C2D87"/>
    <w:rsid w:val="008C54F6"/>
    <w:rsid w:val="008C6E10"/>
    <w:rsid w:val="008D2A3E"/>
    <w:rsid w:val="008F1F14"/>
    <w:rsid w:val="008F6C74"/>
    <w:rsid w:val="00901B24"/>
    <w:rsid w:val="00914D5F"/>
    <w:rsid w:val="00931537"/>
    <w:rsid w:val="009437A2"/>
    <w:rsid w:val="009727C5"/>
    <w:rsid w:val="00973B4B"/>
    <w:rsid w:val="00987B7B"/>
    <w:rsid w:val="00990276"/>
    <w:rsid w:val="0099619F"/>
    <w:rsid w:val="009A60E4"/>
    <w:rsid w:val="009B2D0E"/>
    <w:rsid w:val="009B3283"/>
    <w:rsid w:val="009B337A"/>
    <w:rsid w:val="009C2E99"/>
    <w:rsid w:val="009C5750"/>
    <w:rsid w:val="009D0DAE"/>
    <w:rsid w:val="009D53FD"/>
    <w:rsid w:val="009E5CC2"/>
    <w:rsid w:val="009F6F0F"/>
    <w:rsid w:val="00A122AE"/>
    <w:rsid w:val="00A266E9"/>
    <w:rsid w:val="00A276BA"/>
    <w:rsid w:val="00A43523"/>
    <w:rsid w:val="00A522AB"/>
    <w:rsid w:val="00A52A82"/>
    <w:rsid w:val="00A70B6C"/>
    <w:rsid w:val="00A75140"/>
    <w:rsid w:val="00A76EEB"/>
    <w:rsid w:val="00A8716F"/>
    <w:rsid w:val="00A94BF8"/>
    <w:rsid w:val="00AA4CE1"/>
    <w:rsid w:val="00AA5BE3"/>
    <w:rsid w:val="00AB18A7"/>
    <w:rsid w:val="00AB3F05"/>
    <w:rsid w:val="00AB42EB"/>
    <w:rsid w:val="00AC30ED"/>
    <w:rsid w:val="00AD0B24"/>
    <w:rsid w:val="00AE5B67"/>
    <w:rsid w:val="00AF3655"/>
    <w:rsid w:val="00B122EE"/>
    <w:rsid w:val="00B12379"/>
    <w:rsid w:val="00B15213"/>
    <w:rsid w:val="00B2101F"/>
    <w:rsid w:val="00B3146D"/>
    <w:rsid w:val="00B36D84"/>
    <w:rsid w:val="00B4609D"/>
    <w:rsid w:val="00B61231"/>
    <w:rsid w:val="00B655E6"/>
    <w:rsid w:val="00B71FF0"/>
    <w:rsid w:val="00B82FC6"/>
    <w:rsid w:val="00B96C1D"/>
    <w:rsid w:val="00B97CEC"/>
    <w:rsid w:val="00BB177C"/>
    <w:rsid w:val="00BB3230"/>
    <w:rsid w:val="00BD1FF4"/>
    <w:rsid w:val="00BE7208"/>
    <w:rsid w:val="00BF41F2"/>
    <w:rsid w:val="00C175DA"/>
    <w:rsid w:val="00C20E7F"/>
    <w:rsid w:val="00C21BE8"/>
    <w:rsid w:val="00C27355"/>
    <w:rsid w:val="00C309C9"/>
    <w:rsid w:val="00C31F47"/>
    <w:rsid w:val="00C33DAD"/>
    <w:rsid w:val="00C34C9F"/>
    <w:rsid w:val="00C35156"/>
    <w:rsid w:val="00C358E5"/>
    <w:rsid w:val="00C450EB"/>
    <w:rsid w:val="00C45781"/>
    <w:rsid w:val="00C50205"/>
    <w:rsid w:val="00C60C40"/>
    <w:rsid w:val="00C66C08"/>
    <w:rsid w:val="00C7030A"/>
    <w:rsid w:val="00C80B7B"/>
    <w:rsid w:val="00C839B4"/>
    <w:rsid w:val="00C86897"/>
    <w:rsid w:val="00C91A98"/>
    <w:rsid w:val="00CA2273"/>
    <w:rsid w:val="00CC0BDA"/>
    <w:rsid w:val="00CC75D7"/>
    <w:rsid w:val="00CD0ACA"/>
    <w:rsid w:val="00CE0457"/>
    <w:rsid w:val="00CF001A"/>
    <w:rsid w:val="00CF2FFA"/>
    <w:rsid w:val="00CF6BDA"/>
    <w:rsid w:val="00CF6E83"/>
    <w:rsid w:val="00D05A1D"/>
    <w:rsid w:val="00D1164E"/>
    <w:rsid w:val="00D23D2C"/>
    <w:rsid w:val="00D33900"/>
    <w:rsid w:val="00D408D5"/>
    <w:rsid w:val="00D515C9"/>
    <w:rsid w:val="00D52CBB"/>
    <w:rsid w:val="00D766CA"/>
    <w:rsid w:val="00D76C0C"/>
    <w:rsid w:val="00D868FC"/>
    <w:rsid w:val="00D94269"/>
    <w:rsid w:val="00D9614A"/>
    <w:rsid w:val="00D962ED"/>
    <w:rsid w:val="00D97AF7"/>
    <w:rsid w:val="00DA523B"/>
    <w:rsid w:val="00DA75B6"/>
    <w:rsid w:val="00DB118C"/>
    <w:rsid w:val="00DB1727"/>
    <w:rsid w:val="00DB5E5E"/>
    <w:rsid w:val="00DC77A3"/>
    <w:rsid w:val="00DD4B0D"/>
    <w:rsid w:val="00DD5BFE"/>
    <w:rsid w:val="00DD6133"/>
    <w:rsid w:val="00DF52CD"/>
    <w:rsid w:val="00DF5B3B"/>
    <w:rsid w:val="00E0575E"/>
    <w:rsid w:val="00E1012C"/>
    <w:rsid w:val="00E11DF1"/>
    <w:rsid w:val="00E161C6"/>
    <w:rsid w:val="00E26B87"/>
    <w:rsid w:val="00E3188A"/>
    <w:rsid w:val="00E447C3"/>
    <w:rsid w:val="00E44D88"/>
    <w:rsid w:val="00E55E74"/>
    <w:rsid w:val="00E57ED9"/>
    <w:rsid w:val="00E871F2"/>
    <w:rsid w:val="00E91F01"/>
    <w:rsid w:val="00EA42AD"/>
    <w:rsid w:val="00EA7592"/>
    <w:rsid w:val="00EB2655"/>
    <w:rsid w:val="00EC7414"/>
    <w:rsid w:val="00EF1949"/>
    <w:rsid w:val="00EF4EDE"/>
    <w:rsid w:val="00F163D2"/>
    <w:rsid w:val="00F2361B"/>
    <w:rsid w:val="00F31632"/>
    <w:rsid w:val="00F47C77"/>
    <w:rsid w:val="00F65A3C"/>
    <w:rsid w:val="00F7076B"/>
    <w:rsid w:val="00F75D0A"/>
    <w:rsid w:val="00F76F59"/>
    <w:rsid w:val="00F83267"/>
    <w:rsid w:val="00F96106"/>
    <w:rsid w:val="00FA071F"/>
    <w:rsid w:val="00FA721B"/>
    <w:rsid w:val="00FB64CD"/>
    <w:rsid w:val="00FC5DEB"/>
    <w:rsid w:val="00FC6279"/>
    <w:rsid w:val="00FD27D7"/>
    <w:rsid w:val="00FE296E"/>
    <w:rsid w:val="00FE2F8D"/>
    <w:rsid w:val="00FE6AEE"/>
    <w:rsid w:val="00FF028E"/>
    <w:rsid w:val="00FF2808"/>
    <w:rsid w:val="0A29A3AB"/>
    <w:rsid w:val="0A6087EC"/>
    <w:rsid w:val="112EFCF0"/>
    <w:rsid w:val="1374659A"/>
    <w:rsid w:val="29B2AB43"/>
    <w:rsid w:val="36B20A43"/>
    <w:rsid w:val="4BF7E18D"/>
    <w:rsid w:val="51C56925"/>
    <w:rsid w:val="54026100"/>
    <w:rsid w:val="5531469F"/>
    <w:rsid w:val="6444A9B3"/>
    <w:rsid w:val="6AAB4017"/>
    <w:rsid w:val="7EA79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08C5"/>
  <w15:chartTrackingRefBased/>
  <w15:docId w15:val="{ED749ADB-1A12-4D61-B95F-C0322E47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5B6"/>
    <w:rPr>
      <w:color w:val="0563C1" w:themeColor="hyperlink"/>
      <w:u w:val="single"/>
    </w:rPr>
  </w:style>
  <w:style w:type="character" w:styleId="UnresolvedMention">
    <w:name w:val="Unresolved Mention"/>
    <w:basedOn w:val="DefaultParagraphFont"/>
    <w:uiPriority w:val="99"/>
    <w:semiHidden/>
    <w:unhideWhenUsed/>
    <w:rsid w:val="00DA75B6"/>
    <w:rPr>
      <w:color w:val="605E5C"/>
      <w:shd w:val="clear" w:color="auto" w:fill="E1DFDD"/>
    </w:rPr>
  </w:style>
  <w:style w:type="paragraph" w:styleId="FootnoteText">
    <w:name w:val="footnote text"/>
    <w:basedOn w:val="Normal"/>
    <w:link w:val="FootnoteTextChar"/>
    <w:uiPriority w:val="99"/>
    <w:semiHidden/>
    <w:unhideWhenUsed/>
    <w:rsid w:val="001835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3559"/>
    <w:rPr>
      <w:sz w:val="20"/>
      <w:szCs w:val="20"/>
    </w:rPr>
  </w:style>
  <w:style w:type="character" w:styleId="FootnoteReference">
    <w:name w:val="footnote reference"/>
    <w:basedOn w:val="DefaultParagraphFont"/>
    <w:uiPriority w:val="99"/>
    <w:semiHidden/>
    <w:unhideWhenUsed/>
    <w:rsid w:val="00183559"/>
    <w:rPr>
      <w:vertAlign w:val="superscript"/>
    </w:rPr>
  </w:style>
  <w:style w:type="paragraph" w:styleId="ListParagraph">
    <w:name w:val="List Paragraph"/>
    <w:basedOn w:val="Normal"/>
    <w:uiPriority w:val="34"/>
    <w:qFormat/>
    <w:rsid w:val="004454DD"/>
    <w:pPr>
      <w:ind w:left="720"/>
      <w:contextualSpacing/>
    </w:pPr>
  </w:style>
  <w:style w:type="table" w:styleId="TableGrid">
    <w:name w:val="Table Grid"/>
    <w:basedOn w:val="TableNormal"/>
    <w:uiPriority w:val="39"/>
    <w:rsid w:val="00684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9B7"/>
  </w:style>
  <w:style w:type="paragraph" w:styleId="Footer">
    <w:name w:val="footer"/>
    <w:basedOn w:val="Normal"/>
    <w:link w:val="FooterChar"/>
    <w:uiPriority w:val="99"/>
    <w:unhideWhenUsed/>
    <w:rsid w:val="00046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9B7"/>
  </w:style>
  <w:style w:type="paragraph" w:styleId="BalloonText">
    <w:name w:val="Balloon Text"/>
    <w:basedOn w:val="Normal"/>
    <w:link w:val="BalloonTextChar"/>
    <w:uiPriority w:val="99"/>
    <w:semiHidden/>
    <w:unhideWhenUsed/>
    <w:rsid w:val="00484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CD8"/>
    <w:rPr>
      <w:rFonts w:ascii="Segoe UI" w:hAnsi="Segoe UI" w:cs="Segoe UI"/>
      <w:sz w:val="18"/>
      <w:szCs w:val="18"/>
    </w:rPr>
  </w:style>
  <w:style w:type="character" w:styleId="FollowedHyperlink">
    <w:name w:val="FollowedHyperlink"/>
    <w:basedOn w:val="DefaultParagraphFont"/>
    <w:uiPriority w:val="99"/>
    <w:semiHidden/>
    <w:unhideWhenUsed/>
    <w:rsid w:val="003A57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965550">
      <w:bodyDiv w:val="1"/>
      <w:marLeft w:val="0"/>
      <w:marRight w:val="0"/>
      <w:marTop w:val="0"/>
      <w:marBottom w:val="0"/>
      <w:divBdr>
        <w:top w:val="none" w:sz="0" w:space="0" w:color="auto"/>
        <w:left w:val="none" w:sz="0" w:space="0" w:color="auto"/>
        <w:bottom w:val="none" w:sz="0" w:space="0" w:color="auto"/>
        <w:right w:val="none" w:sz="0" w:space="0" w:color="auto"/>
      </w:divBdr>
    </w:div>
    <w:div w:id="198773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australias-covid-19-vaccine-national-roll-out-strateg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f.org.au/sites/default/files/docs/consumer_position_statement_-_ethical_issues_arising_from_the_covid-19_pandemic_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16/S0140-6736(20)32642-8" TargetMode="External"/><Relationship Id="rId2" Type="http://schemas.openxmlformats.org/officeDocument/2006/relationships/hyperlink" Target="https://www.ncirs.org.au/cossi/cossi-reports-and-publications" TargetMode="External"/><Relationship Id="rId1" Type="http://schemas.openxmlformats.org/officeDocument/2006/relationships/hyperlink" Target="https://chf.org.au/sites/default/files/docs/consumer_position_statement_-_ethical_issues_arising_from_the_covid-19_pandemic_final.pdf" TargetMode="External"/><Relationship Id="rId4" Type="http://schemas.openxmlformats.org/officeDocument/2006/relationships/hyperlink" Target="https://doi.org/10.1016/S0140-6736(20)326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21195499C2B844A382815ECA0CBD5F" ma:contentTypeVersion="12" ma:contentTypeDescription="Create a new document." ma:contentTypeScope="" ma:versionID="37e297c26b05fb352e7313c4f88f15e0">
  <xsd:schema xmlns:xsd="http://www.w3.org/2001/XMLSchema" xmlns:xs="http://www.w3.org/2001/XMLSchema" xmlns:p="http://schemas.microsoft.com/office/2006/metadata/properties" xmlns:ns2="bbafe8a5-4c44-4911-ab39-3b3c2da862a4" xmlns:ns3="0f4bdde2-1fd3-49de-b520-3a54132a75ca" targetNamespace="http://schemas.microsoft.com/office/2006/metadata/properties" ma:root="true" ma:fieldsID="19d2ba516388a36a897ef0f8d4e31fea" ns2:_="" ns3:_="">
    <xsd:import namespace="bbafe8a5-4c44-4911-ab39-3b3c2da862a4"/>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fe8a5-4c44-4911-ab39-3b3c2da86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D42D6A-FEF7-4CCA-AF97-DF094F1F9421}">
  <ds:schemaRefs>
    <ds:schemaRef ds:uri="http://schemas.microsoft.com/sharepoint/v3/contenttype/forms"/>
  </ds:schemaRefs>
</ds:datastoreItem>
</file>

<file path=customXml/itemProps2.xml><?xml version="1.0" encoding="utf-8"?>
<ds:datastoreItem xmlns:ds="http://schemas.openxmlformats.org/officeDocument/2006/customXml" ds:itemID="{788F244D-5F8E-4B41-8703-CF2C9C6BABAB}">
  <ds:schemaRefs>
    <ds:schemaRef ds:uri="http://schemas.openxmlformats.org/officeDocument/2006/bibliography"/>
  </ds:schemaRefs>
</ds:datastoreItem>
</file>

<file path=customXml/itemProps3.xml><?xml version="1.0" encoding="utf-8"?>
<ds:datastoreItem xmlns:ds="http://schemas.openxmlformats.org/officeDocument/2006/customXml" ds:itemID="{DA6CA3AB-C2C7-4A1A-9632-453BCE3D4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fe8a5-4c44-4911-ab39-3b3c2da862a4"/>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2F9F7-84F0-4929-98AB-2E24BC158C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Gelbart</dc:creator>
  <cp:keywords/>
  <dc:description/>
  <cp:lastModifiedBy>Lisa Gelbart</cp:lastModifiedBy>
  <cp:revision>320</cp:revision>
  <dcterms:created xsi:type="dcterms:W3CDTF">2020-12-19T16:24:00Z</dcterms:created>
  <dcterms:modified xsi:type="dcterms:W3CDTF">2021-01-29T03:04:00Z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0x010100EC21195499C2B844A382815ECA0CBD5F</vt:lpwstr>
  </property>
</Properties>
</file>