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00A578D8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215AD7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215AD7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215AD7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215AD7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215AD7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3F1F5ED5" w:rsidR="00146A1B" w:rsidRPr="002138B1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215AD7">
        <w:rPr>
          <w:rFonts w:cs="Poppins"/>
          <w:b/>
          <w:sz w:val="36"/>
          <w:szCs w:val="24"/>
          <w:lang w:val="it-IT"/>
        </w:rPr>
        <w:t xml:space="preserve">D3.1 </w:t>
      </w:r>
      <w:r w:rsidR="002138B1" w:rsidRPr="002138B1">
        <w:rPr>
          <w:rFonts w:cs="Poppins"/>
          <w:b/>
          <w:sz w:val="36"/>
          <w:szCs w:val="24"/>
          <w:lang w:val="it-IT"/>
        </w:rPr>
        <w:t>Train-the-Trainer Toolkit</w:t>
      </w:r>
    </w:p>
    <w:p w14:paraId="1509156E" w14:textId="4FB49102" w:rsidR="004B32E6" w:rsidRPr="00215AD7" w:rsidRDefault="00146A1B" w:rsidP="40CC3B12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215AD7">
        <w:rPr>
          <w:rFonts w:cs="Poppins"/>
          <w:sz w:val="32"/>
          <w:szCs w:val="32"/>
          <w:lang w:val="it-IT"/>
        </w:rPr>
        <w:t>Modulo 2: Soluzioni digitali per l'accessibilità</w:t>
      </w:r>
    </w:p>
    <w:p w14:paraId="460A7C0F" w14:textId="7DFF11B2" w:rsidR="00146A1B" w:rsidRPr="00215AD7" w:rsidRDefault="004B32E6" w:rsidP="40CC3B12">
      <w:pPr>
        <w:ind w:firstLine="0"/>
        <w:jc w:val="center"/>
        <w:rPr>
          <w:rFonts w:cs="Poppins"/>
          <w:b/>
          <w:bCs/>
          <w:color w:val="3A7C22" w:themeColor="accent6" w:themeShade="BF"/>
          <w:sz w:val="32"/>
          <w:szCs w:val="32"/>
          <w:lang w:val="it-IT"/>
        </w:rPr>
      </w:pPr>
      <w:r w:rsidRPr="00215AD7">
        <w:rPr>
          <w:rFonts w:cs="Poppins"/>
          <w:sz w:val="32"/>
          <w:szCs w:val="32"/>
          <w:lang w:val="it-IT"/>
        </w:rPr>
        <w:t xml:space="preserve">Audit di accessibilità da remoto </w:t>
      </w:r>
    </w:p>
    <w:p w14:paraId="5FF883CD" w14:textId="763917D9" w:rsidR="00A13208" w:rsidRPr="00215AD7" w:rsidRDefault="00A13208" w:rsidP="40CC3B12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215AD7">
        <w:rPr>
          <w:rFonts w:cs="Poppins"/>
          <w:sz w:val="32"/>
          <w:szCs w:val="32"/>
          <w:lang w:val="it-IT"/>
        </w:rPr>
        <w:t>Lista di controllo</w:t>
      </w:r>
      <w:r w:rsidRPr="00215AD7">
        <w:rPr>
          <w:rFonts w:ascii="Cambria Math" w:hAnsi="Cambria Math" w:cs="Cambria Math"/>
          <w:sz w:val="32"/>
          <w:szCs w:val="32"/>
          <w:lang w:val="it-IT"/>
        </w:rPr>
        <w:t xml:space="preserve"> per l</w:t>
      </w:r>
      <w:r w:rsidRPr="00215AD7">
        <w:rPr>
          <w:rFonts w:cs="Poppins"/>
          <w:sz w:val="32"/>
          <w:szCs w:val="32"/>
          <w:lang w:val="it-IT"/>
        </w:rPr>
        <w:t>'autovalutazione</w:t>
      </w:r>
    </w:p>
    <w:p w14:paraId="1B854983" w14:textId="77777777" w:rsidR="00A13208" w:rsidRPr="00215AD7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215AD7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215AD7" w:rsidRDefault="008E211B" w:rsidP="004B32E6">
      <w:pPr>
        <w:spacing w:line="276" w:lineRule="auto"/>
        <w:ind w:firstLine="0"/>
        <w:rPr>
          <w:rFonts w:cs="Poppins"/>
          <w:b/>
          <w:bCs/>
          <w:color w:val="3E762A"/>
          <w:lang w:val="it-IT"/>
        </w:rPr>
      </w:pPr>
    </w:p>
    <w:p w14:paraId="6C21A68C" w14:textId="09841FFE" w:rsidR="40CC3B12" w:rsidRPr="00215AD7" w:rsidRDefault="40CC3B12" w:rsidP="40CC3B12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2BC6645" w14:textId="34A12DB9" w:rsidR="40CC3B12" w:rsidRPr="00215AD7" w:rsidRDefault="40CC3B12" w:rsidP="40CC3B12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6C43AFE3" w:rsidR="00F00116" w:rsidRPr="00215AD7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215AD7">
        <w:rPr>
          <w:rFonts w:cs="Poppins"/>
          <w:b/>
          <w:bCs/>
          <w:color w:val="3E762A"/>
          <w:lang w:val="it-IT"/>
        </w:rPr>
        <w:t>Disc</w:t>
      </w:r>
      <w:r w:rsidR="002138B1">
        <w:rPr>
          <w:rFonts w:cs="Poppins"/>
          <w:b/>
          <w:bCs/>
          <w:color w:val="3E762A"/>
          <w:lang w:val="it-IT"/>
        </w:rPr>
        <w:t>laimer</w:t>
      </w:r>
      <w:r w:rsidRPr="00215AD7">
        <w:rPr>
          <w:rFonts w:cs="Poppins"/>
          <w:b/>
          <w:bCs/>
          <w:color w:val="3E762A"/>
          <w:lang w:val="it-IT"/>
        </w:rPr>
        <w:t xml:space="preserve"> </w:t>
      </w:r>
    </w:p>
    <w:p w14:paraId="56DCB320" w14:textId="1B2490C1" w:rsidR="008A0453" w:rsidRPr="00215AD7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215AD7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215A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215AD7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215AD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215AD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215AD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215AD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215AD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215AD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215AD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763BF8AD" w:rsidR="00146A1B" w:rsidRPr="00A929F2" w:rsidRDefault="00A13208" w:rsidP="00A929F2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A929F2">
        <w:lastRenderedPageBreak/>
        <w:t xml:space="preserve">Lista di </w:t>
      </w:r>
      <w:proofErr w:type="spellStart"/>
      <w:r w:rsidRPr="00A929F2">
        <w:t>controllo</w:t>
      </w:r>
      <w:proofErr w:type="spellEnd"/>
      <w:r w:rsidRPr="00A929F2">
        <w:rPr>
          <w:rFonts w:ascii="Cambria Math" w:hAnsi="Cambria Math" w:cs="Cambria Math"/>
        </w:rPr>
        <w:t xml:space="preserve"> per l</w:t>
      </w:r>
      <w:r w:rsidRPr="00A929F2">
        <w:t>'</w:t>
      </w:r>
      <w:proofErr w:type="spellStart"/>
      <w:r w:rsidRPr="00A929F2">
        <w:t>autovalutazione</w:t>
      </w:r>
      <w:proofErr w:type="spellEnd"/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A929F2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A929F2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929F2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A929F2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929F2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A929F2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929F2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:rsidRPr="00A929F2" w14:paraId="41D25338" w14:textId="77777777" w:rsidTr="00A13208">
        <w:tc>
          <w:tcPr>
            <w:tcW w:w="5382" w:type="dxa"/>
          </w:tcPr>
          <w:p w14:paraId="1E6605F6" w14:textId="265BF222" w:rsidR="00A13208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Ogni pagina web supera un controllo automatico usando axe DevTools o WAVE.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A929F2" w14:paraId="4AA98DB3" w14:textId="77777777" w:rsidTr="00A13208">
        <w:tc>
          <w:tcPr>
            <w:tcW w:w="5382" w:type="dxa"/>
          </w:tcPr>
          <w:p w14:paraId="3CCF669B" w14:textId="6554F430" w:rsidR="00A13208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Tutti gli elementi interattivi sono raggiungibili solo con la tastiera.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A929F2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:rsidRPr="00A929F2" w14:paraId="0C341CBE" w14:textId="77777777" w:rsidTr="00A13208">
        <w:tc>
          <w:tcPr>
            <w:tcW w:w="5382" w:type="dxa"/>
          </w:tcPr>
          <w:p w14:paraId="65ADE15E" w14:textId="35391BE0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Il lettore di schermo annuncia gli elementi del menu, i pulsanti e le etichette in ordine logico.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09394D5B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5C136384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:rsidRPr="00A929F2" w14:paraId="57151D24" w14:textId="77777777" w:rsidTr="00A13208">
        <w:tc>
          <w:tcPr>
            <w:tcW w:w="5382" w:type="dxa"/>
          </w:tcPr>
          <w:p w14:paraId="463F5CC5" w14:textId="00C63564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Il rapporto di contrasto dei colori è almeno 4,5:1 per il testo normale.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498E4F23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63734B53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:rsidRPr="00A929F2" w14:paraId="3BD65E5A" w14:textId="77777777" w:rsidTr="00A13208">
        <w:tc>
          <w:tcPr>
            <w:tcW w:w="5382" w:type="dxa"/>
          </w:tcPr>
          <w:p w14:paraId="57F81237" w14:textId="606FD161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Le immagini hanno testo alternativo significativo o alternativa vuota quando sono decorative.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5E8D3964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1E497284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:rsidRPr="00A929F2" w14:paraId="41B626B1" w14:textId="77777777" w:rsidTr="00A13208">
        <w:tc>
          <w:tcPr>
            <w:tcW w:w="5382" w:type="dxa"/>
          </w:tcPr>
          <w:p w14:paraId="188F94F9" w14:textId="60633935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 PDF includono titoli taggati e ordine di lettura corretto.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752D844" w14:textId="3B4368F6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03F914E" w14:textId="241E8C2C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:rsidRPr="00A929F2" w14:paraId="3E2EE2F4" w14:textId="77777777" w:rsidTr="00A13208">
        <w:tc>
          <w:tcPr>
            <w:tcW w:w="5382" w:type="dxa"/>
          </w:tcPr>
          <w:p w14:paraId="4AE526F4" w14:textId="5D4B19B1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 video forniscono didascalie accurate e descrizioni audio dove necessario.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4144478" w14:textId="42F43B04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9383AA" w14:textId="2E88E9C9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:rsidRPr="00A929F2" w14:paraId="64B42430" w14:textId="77777777" w:rsidTr="00A13208">
        <w:tc>
          <w:tcPr>
            <w:tcW w:w="5382" w:type="dxa"/>
          </w:tcPr>
          <w:p w14:paraId="149FBD56" w14:textId="25258720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Viene pubblicata una dichiarazione di accessibilità e facile da trovare.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F2F4291" w14:textId="557D9BFC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3198299" w14:textId="4ED5F5D4" w:rsidR="004B32E6" w:rsidRPr="00A929F2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A929F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0A947373" w:rsidR="00146A1B" w:rsidRPr="00215AD7" w:rsidRDefault="00A13208" w:rsidP="00A929F2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r w:rsidRPr="00215AD7">
        <w:rPr>
          <w:lang w:val="it-IT"/>
        </w:rPr>
        <w:t>Come utilizzare questo auto-controllo dell'accessibilità web?</w:t>
      </w:r>
    </w:p>
    <w:p w14:paraId="48844158" w14:textId="14CB9AAC" w:rsidR="004B32E6" w:rsidRPr="00215AD7" w:rsidRDefault="004B32E6" w:rsidP="004B32E6">
      <w:pPr>
        <w:spacing w:line="276" w:lineRule="auto"/>
        <w:rPr>
          <w:lang w:val="it-IT"/>
        </w:rPr>
      </w:pPr>
      <w:r w:rsidRPr="00215AD7">
        <w:rPr>
          <w:lang w:val="it-IT"/>
        </w:rPr>
        <w:t xml:space="preserve">Questa lista copre i requisiti di Livello AA più comuni in WCAG 2.2. Spunta </w:t>
      </w:r>
      <w:r w:rsidRPr="00215AD7">
        <w:rPr>
          <w:b/>
          <w:bCs/>
          <w:lang w:val="it-IT"/>
        </w:rPr>
        <w:t xml:space="preserve">Sì </w:t>
      </w:r>
      <w:r w:rsidRPr="00215AD7">
        <w:rPr>
          <w:lang w:val="it-IT"/>
        </w:rPr>
        <w:t xml:space="preserve">solo quando l'affermazione è già vera per </w:t>
      </w:r>
      <w:r w:rsidRPr="00215AD7">
        <w:rPr>
          <w:b/>
          <w:bCs/>
          <w:lang w:val="it-IT"/>
        </w:rPr>
        <w:t>ogni</w:t>
      </w:r>
      <w:r w:rsidRPr="00215AD7">
        <w:rPr>
          <w:lang w:val="it-IT"/>
        </w:rPr>
        <w:t xml:space="preserve"> pagina e fascicolo pubblico oggi. Un No  segna una lacuna di conformità da programmare nel tuo prossimo arretrato di sprint.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2138B1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A929F2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A929F2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A929F2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929F2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Perché dovrebbe importare?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47A8341C" w14:textId="77777777" w:rsidR="00A929F2" w:rsidRPr="00215AD7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Consiglio veloce per muoversi</w:t>
            </w:r>
          </w:p>
          <w:p w14:paraId="2D1E0D71" w14:textId="5A92AA9D" w:rsidR="00A13208" w:rsidRPr="00215AD7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lastRenderedPageBreak/>
              <w:t xml:space="preserve"> da "No" a "Sì"</w:t>
            </w:r>
          </w:p>
        </w:tc>
      </w:tr>
      <w:tr w:rsidR="004B32E6" w:rsidRPr="002138B1" w14:paraId="104004EE" w14:textId="77777777" w:rsidTr="00FB74BD">
        <w:tc>
          <w:tcPr>
            <w:tcW w:w="2263" w:type="dxa"/>
          </w:tcPr>
          <w:p w14:paraId="2B3EAEEA" w14:textId="54E02107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lastRenderedPageBreak/>
              <w:t>Ogni pagina web supera un controllo automatico usando axe DevTools o WAVE.</w:t>
            </w:r>
          </w:p>
        </w:tc>
        <w:tc>
          <w:tcPr>
            <w:tcW w:w="3261" w:type="dxa"/>
          </w:tcPr>
          <w:p w14:paraId="2ED6753E" w14:textId="355FE52E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Le scansioni automatiche rilevano circa il 60% degli errori WCAG—la tua prima rete di sicurezza.</w:t>
            </w:r>
          </w:p>
        </w:tc>
        <w:tc>
          <w:tcPr>
            <w:tcW w:w="3543" w:type="dxa"/>
          </w:tcPr>
          <w:p w14:paraId="17220C56" w14:textId="3AE7F52C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Installa l'estensione del browser, esegui su ogni pagina modello e risolvi prima i problemi di "Errore" rosso.</w:t>
            </w:r>
          </w:p>
        </w:tc>
      </w:tr>
      <w:tr w:rsidR="004B32E6" w:rsidRPr="002138B1" w14:paraId="4C62C3FC" w14:textId="77777777" w:rsidTr="00FB74BD">
        <w:tc>
          <w:tcPr>
            <w:tcW w:w="2263" w:type="dxa"/>
          </w:tcPr>
          <w:p w14:paraId="0309CF18" w14:textId="6FB55C31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Tutti gli elementi interattivi sono raggiungibili solo con la tastiera.</w:t>
            </w:r>
          </w:p>
        </w:tc>
        <w:tc>
          <w:tcPr>
            <w:tcW w:w="3261" w:type="dxa"/>
          </w:tcPr>
          <w:p w14:paraId="1FE4E21C" w14:textId="1B9EC162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Gli utenti che non sanno usare un mouse si affidano a Tab, Shift + Tab e ai tasti freccia.</w:t>
            </w:r>
          </w:p>
        </w:tc>
        <w:tc>
          <w:tcPr>
            <w:tcW w:w="3543" w:type="dxa"/>
          </w:tcPr>
          <w:p w14:paraId="5CDE0496" w14:textId="346D9090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 xml:space="preserve">Fai un "Tab walk": premi Tab per tutta la pagina; aggiungi </w:t>
            </w:r>
            <w:r w:rsidRPr="00215AD7">
              <w:rPr>
                <w:rFonts w:eastAsia="Consolas" w:cs="Poppins"/>
                <w:sz w:val="20"/>
                <w:szCs w:val="20"/>
                <w:lang w:val="it-IT"/>
              </w:rPr>
              <w:t>tabindex="0"</w:t>
            </w:r>
            <w:r w:rsidRPr="00215AD7">
              <w:rPr>
                <w:rFonts w:cs="Poppins"/>
                <w:sz w:val="20"/>
                <w:szCs w:val="20"/>
                <w:lang w:val="it-IT"/>
              </w:rPr>
              <w:t xml:space="preserve"> o il markup corretto a qualsiasi elemento che non riesci a raggiungere.</w:t>
            </w:r>
          </w:p>
        </w:tc>
      </w:tr>
      <w:tr w:rsidR="004B32E6" w:rsidRPr="002138B1" w14:paraId="006C87D2" w14:textId="77777777" w:rsidTr="00FB74BD">
        <w:tc>
          <w:tcPr>
            <w:tcW w:w="2263" w:type="dxa"/>
          </w:tcPr>
          <w:p w14:paraId="4C89BC05" w14:textId="48A4C3EF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 lettori di schermo annunciano elementi del menu, pulsanti ed etichette in ordine logico.</w:t>
            </w:r>
          </w:p>
        </w:tc>
        <w:tc>
          <w:tcPr>
            <w:tcW w:w="3261" w:type="dxa"/>
          </w:tcPr>
          <w:p w14:paraId="15C515C1" w14:textId="0ECBE087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Gli ospiti ciechi si muovono in base a ciò che sentono, non a ciò che vedono.</w:t>
            </w:r>
          </w:p>
        </w:tc>
        <w:tc>
          <w:tcPr>
            <w:tcW w:w="3543" w:type="dxa"/>
          </w:tcPr>
          <w:p w14:paraId="5AFEEA3A" w14:textId="3E71489A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 xml:space="preserve">Avvia NVDA (Windows) o VoiceOver (macOS/iOS); ascolta le mancanti delle etichette o i titoli confusi; aggiungi </w:t>
            </w:r>
            <w:r w:rsidRPr="00215AD7">
              <w:rPr>
                <w:rFonts w:eastAsia="Consolas" w:cs="Poppins"/>
                <w:sz w:val="20"/>
                <w:szCs w:val="20"/>
                <w:lang w:val="it-IT"/>
              </w:rPr>
              <w:t>&lt;etichetta&gt;</w:t>
            </w:r>
            <w:r w:rsidRPr="00215AD7">
              <w:rPr>
                <w:rFonts w:cs="Poppins"/>
                <w:sz w:val="20"/>
                <w:szCs w:val="20"/>
                <w:lang w:val="it-IT"/>
              </w:rPr>
              <w:t xml:space="preserve"> o ARIA secondo necessità.</w:t>
            </w:r>
          </w:p>
        </w:tc>
      </w:tr>
      <w:tr w:rsidR="004B32E6" w:rsidRPr="002138B1" w14:paraId="08D83C48" w14:textId="77777777" w:rsidTr="00FB74BD">
        <w:tc>
          <w:tcPr>
            <w:tcW w:w="2263" w:type="dxa"/>
          </w:tcPr>
          <w:p w14:paraId="190E7801" w14:textId="1AFB0035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Il rapporto di contrasto dei colori è almeno 4,5 : 1 per il testo normale.</w:t>
            </w:r>
          </w:p>
        </w:tc>
        <w:tc>
          <w:tcPr>
            <w:tcW w:w="3261" w:type="dxa"/>
          </w:tcPr>
          <w:p w14:paraId="5B1E7848" w14:textId="2A43B6F0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Gli utenti con bassa vista faticano a leggere testi pallidi; WCAG fornisce soglie misurabili.</w:t>
            </w:r>
          </w:p>
        </w:tc>
        <w:tc>
          <w:tcPr>
            <w:tcW w:w="3543" w:type="dxa"/>
          </w:tcPr>
          <w:p w14:paraId="3AF94BA8" w14:textId="02CDEC2F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Esegui l'Analizzatore di Contrasto dei Colori sui colori del marchio; scurire il testo o schiarire lo sfondo finché lo strumento non mostra "Passa."</w:t>
            </w:r>
          </w:p>
        </w:tc>
      </w:tr>
      <w:tr w:rsidR="004B32E6" w:rsidRPr="00A929F2" w14:paraId="27A38637" w14:textId="77777777" w:rsidTr="00FB74BD">
        <w:tc>
          <w:tcPr>
            <w:tcW w:w="2263" w:type="dxa"/>
          </w:tcPr>
          <w:p w14:paraId="5D5FFA00" w14:textId="30EA7621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Le immagini hanno testo alternativo significativo o alternativa vuota quando sono decorative.</w:t>
            </w:r>
          </w:p>
        </w:tc>
        <w:tc>
          <w:tcPr>
            <w:tcW w:w="3261" w:type="dxa"/>
          </w:tcPr>
          <w:p w14:paraId="4606C6E3" w14:textId="2DC2AC87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Il testo alternativo viene letto ad alta voce dai lettori di schermo ed è indicizzato dai motori di ricerca.</w:t>
            </w:r>
          </w:p>
        </w:tc>
        <w:tc>
          <w:tcPr>
            <w:tcW w:w="3543" w:type="dxa"/>
          </w:tcPr>
          <w:p w14:paraId="0D08DA18" w14:textId="20618E09" w:rsidR="004B32E6" w:rsidRPr="00A929F2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 xml:space="preserve">Per immagini informative, descrivi </w:t>
            </w:r>
            <w:r w:rsidRPr="00215AD7">
              <w:rPr>
                <w:rFonts w:cs="Poppins"/>
                <w:i/>
                <w:iCs/>
                <w:sz w:val="20"/>
                <w:szCs w:val="20"/>
                <w:lang w:val="it-IT"/>
              </w:rPr>
              <w:t>la funzione</w:t>
            </w:r>
            <w:r w:rsidRPr="00215AD7">
              <w:rPr>
                <w:rFonts w:cs="Poppins"/>
                <w:sz w:val="20"/>
                <w:szCs w:val="20"/>
                <w:lang w:val="it-IT"/>
              </w:rPr>
              <w:t xml:space="preserve"> e non l'aspetto (ad esempio, "Mappa del percorso del vigneto"). </w:t>
            </w:r>
            <w:r w:rsidRPr="00A929F2">
              <w:rPr>
                <w:rFonts w:cs="Poppins"/>
                <w:sz w:val="20"/>
                <w:szCs w:val="20"/>
              </w:rPr>
              <w:t xml:space="preserve">Per immagini puramente decorative, usa </w:t>
            </w:r>
            <w:r w:rsidRPr="00A929F2">
              <w:rPr>
                <w:rFonts w:eastAsia="Consolas" w:cs="Poppins"/>
                <w:sz w:val="20"/>
                <w:szCs w:val="20"/>
              </w:rPr>
              <w:t>alt="".</w:t>
            </w:r>
          </w:p>
        </w:tc>
      </w:tr>
      <w:tr w:rsidR="004B32E6" w:rsidRPr="002138B1" w14:paraId="7640BF62" w14:textId="77777777" w:rsidTr="00FB74BD">
        <w:tc>
          <w:tcPr>
            <w:tcW w:w="2263" w:type="dxa"/>
          </w:tcPr>
          <w:p w14:paraId="5C7E72B6" w14:textId="5992C4B0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 PDF includono titoli taggati e ordine di lettura corretto.</w:t>
            </w:r>
          </w:p>
        </w:tc>
        <w:tc>
          <w:tcPr>
            <w:tcW w:w="3261" w:type="dxa"/>
          </w:tcPr>
          <w:p w14:paraId="7A0389F4" w14:textId="6E907079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 PDF non taggati sono illeggibili per le tecnologie assistive e violano l'EAA 2025.</w:t>
            </w:r>
          </w:p>
        </w:tc>
        <w:tc>
          <w:tcPr>
            <w:tcW w:w="3543" w:type="dxa"/>
          </w:tcPr>
          <w:p w14:paraId="74D04DAC" w14:textId="5B700FD0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Esporta da Word con "Document structure tags" selezionato oppure usa il controllo di accessibilità di Acrobat per auto-tag e sistema.</w:t>
            </w:r>
          </w:p>
        </w:tc>
      </w:tr>
      <w:tr w:rsidR="004B32E6" w:rsidRPr="002138B1" w14:paraId="315C8A69" w14:textId="77777777" w:rsidTr="00FB74BD">
        <w:tc>
          <w:tcPr>
            <w:tcW w:w="2263" w:type="dxa"/>
          </w:tcPr>
          <w:p w14:paraId="2901199B" w14:textId="12A68D56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lastRenderedPageBreak/>
              <w:t>I video forniscono didascalie accurate e descrizioni audio dove necessario.</w:t>
            </w:r>
          </w:p>
        </w:tc>
        <w:tc>
          <w:tcPr>
            <w:tcW w:w="3261" w:type="dxa"/>
          </w:tcPr>
          <w:p w14:paraId="2A400509" w14:textId="1A88DF88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I sottotitoli sono adatti ai sordi; Le audiodescrizioni servono utenti non vedenti durante visite visive.</w:t>
            </w:r>
          </w:p>
        </w:tc>
        <w:tc>
          <w:tcPr>
            <w:tcW w:w="3543" w:type="dxa"/>
          </w:tcPr>
          <w:p w14:paraId="750DE6CF" w14:textId="0FF41C3B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Usa YouTube Studio per le didascalie automatiche, poi correggi i nomi propri; Aggiungi una breve voce fuori campo che descriva le immagini chiave se contengono informazioni essenziali.</w:t>
            </w:r>
          </w:p>
        </w:tc>
      </w:tr>
      <w:tr w:rsidR="004B32E6" w:rsidRPr="00A929F2" w14:paraId="4C0C2EF3" w14:textId="77777777" w:rsidTr="00FB74BD">
        <w:tc>
          <w:tcPr>
            <w:tcW w:w="2263" w:type="dxa"/>
          </w:tcPr>
          <w:p w14:paraId="2FA6ABAC" w14:textId="22EBC346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Viene pubblicata una dichiarazione di accessibilità e facile da trovare.</w:t>
            </w:r>
          </w:p>
        </w:tc>
        <w:tc>
          <w:tcPr>
            <w:tcW w:w="3261" w:type="dxa"/>
          </w:tcPr>
          <w:p w14:paraId="2814C013" w14:textId="49AF24FA" w:rsidR="004B32E6" w:rsidRPr="00215AD7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>La legge UE richiede una dichiarazione di conformità e un canale di contatto per le questioni.</w:t>
            </w:r>
          </w:p>
        </w:tc>
        <w:tc>
          <w:tcPr>
            <w:tcW w:w="3543" w:type="dxa"/>
          </w:tcPr>
          <w:p w14:paraId="3F196388" w14:textId="5F2A6EC6" w:rsidR="004B32E6" w:rsidRPr="00A929F2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5AD7">
              <w:rPr>
                <w:rFonts w:cs="Poppins"/>
                <w:sz w:val="20"/>
                <w:szCs w:val="20"/>
                <w:lang w:val="it-IT"/>
              </w:rPr>
              <w:t xml:space="preserve">Crea una pagina in linguaggio semplice: ambito, lacune note, email di feedback. </w:t>
            </w:r>
            <w:proofErr w:type="spellStart"/>
            <w:r w:rsidRPr="00A929F2">
              <w:rPr>
                <w:rFonts w:cs="Poppins"/>
                <w:sz w:val="20"/>
                <w:szCs w:val="20"/>
              </w:rPr>
              <w:t>Collegalo</w:t>
            </w:r>
            <w:proofErr w:type="spellEnd"/>
            <w:r w:rsidRPr="00A929F2">
              <w:rPr>
                <w:rFonts w:cs="Poppins"/>
                <w:sz w:val="20"/>
                <w:szCs w:val="20"/>
              </w:rPr>
              <w:t xml:space="preserve"> </w:t>
            </w:r>
            <w:proofErr w:type="spellStart"/>
            <w:r w:rsidRPr="00A929F2">
              <w:rPr>
                <w:rFonts w:cs="Poppins"/>
                <w:sz w:val="20"/>
                <w:szCs w:val="20"/>
              </w:rPr>
              <w:t>nel</w:t>
            </w:r>
            <w:proofErr w:type="spellEnd"/>
            <w:r w:rsidRPr="00A929F2">
              <w:rPr>
                <w:rFonts w:cs="Poppins"/>
                <w:sz w:val="20"/>
                <w:szCs w:val="20"/>
              </w:rPr>
              <w:t xml:space="preserve"> </w:t>
            </w:r>
            <w:proofErr w:type="spellStart"/>
            <w:r w:rsidRPr="00A929F2">
              <w:rPr>
                <w:rFonts w:cs="Poppins"/>
                <w:sz w:val="20"/>
                <w:szCs w:val="20"/>
              </w:rPr>
              <w:t>footer</w:t>
            </w:r>
            <w:proofErr w:type="spellEnd"/>
            <w:r w:rsidRPr="00A929F2">
              <w:rPr>
                <w:rFonts w:cs="Poppins"/>
                <w:sz w:val="20"/>
                <w:szCs w:val="20"/>
              </w:rPr>
              <w:t xml:space="preserve"> come "</w:t>
            </w:r>
            <w:proofErr w:type="spellStart"/>
            <w:r w:rsidRPr="00A929F2">
              <w:rPr>
                <w:rFonts w:cs="Poppins"/>
                <w:sz w:val="20"/>
                <w:szCs w:val="20"/>
              </w:rPr>
              <w:t>Accessibility</w:t>
            </w:r>
            <w:proofErr w:type="spellEnd"/>
            <w:r w:rsidRPr="00A929F2">
              <w:rPr>
                <w:rFonts w:cs="Poppins"/>
                <w:sz w:val="20"/>
                <w:szCs w:val="20"/>
              </w:rPr>
              <w:t>."</w:t>
            </w:r>
          </w:p>
        </w:tc>
      </w:tr>
    </w:tbl>
    <w:p w14:paraId="6AF0E6D3" w14:textId="6DDADEE2" w:rsidR="005A579B" w:rsidRPr="00A929F2" w:rsidRDefault="005A579B" w:rsidP="004B32E6">
      <w:pPr>
        <w:spacing w:line="276" w:lineRule="auto"/>
        <w:ind w:firstLine="0"/>
        <w:rPr>
          <w:rFonts w:cs="Poppins"/>
          <w:sz w:val="20"/>
          <w:szCs w:val="20"/>
        </w:rPr>
      </w:pPr>
    </w:p>
    <w:sectPr w:rsidR="005A579B" w:rsidRPr="00A929F2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DE79C" w14:textId="77777777" w:rsidR="008044EB" w:rsidRDefault="008044EB">
      <w:pPr>
        <w:spacing w:after="0" w:line="240" w:lineRule="auto"/>
      </w:pPr>
      <w:r>
        <w:separator/>
      </w:r>
    </w:p>
  </w:endnote>
  <w:endnote w:type="continuationSeparator" w:id="0">
    <w:p w14:paraId="10E067F1" w14:textId="77777777" w:rsidR="008044EB" w:rsidRDefault="00804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F9BAA" w14:textId="77777777" w:rsidR="008044EB" w:rsidRDefault="008044EB">
      <w:pPr>
        <w:spacing w:after="0" w:line="240" w:lineRule="auto"/>
      </w:pPr>
      <w:r>
        <w:separator/>
      </w:r>
    </w:p>
  </w:footnote>
  <w:footnote w:type="continuationSeparator" w:id="0">
    <w:p w14:paraId="4359DD98" w14:textId="77777777" w:rsidR="008044EB" w:rsidRDefault="00804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138B1"/>
    <w:rsid w:val="00215AD7"/>
    <w:rsid w:val="00367797"/>
    <w:rsid w:val="00382AA2"/>
    <w:rsid w:val="00401FA1"/>
    <w:rsid w:val="00405A14"/>
    <w:rsid w:val="004272D2"/>
    <w:rsid w:val="0045438D"/>
    <w:rsid w:val="00466B0D"/>
    <w:rsid w:val="004A4680"/>
    <w:rsid w:val="004A5439"/>
    <w:rsid w:val="004B32E6"/>
    <w:rsid w:val="004F7AF1"/>
    <w:rsid w:val="0054014D"/>
    <w:rsid w:val="005567C6"/>
    <w:rsid w:val="005A579B"/>
    <w:rsid w:val="005F5585"/>
    <w:rsid w:val="006302DC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044EB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9A45D6"/>
    <w:rsid w:val="009F729A"/>
    <w:rsid w:val="00A13208"/>
    <w:rsid w:val="00A76534"/>
    <w:rsid w:val="00A85BEB"/>
    <w:rsid w:val="00A929F2"/>
    <w:rsid w:val="00AC63E7"/>
    <w:rsid w:val="00AD1379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  <w:rsid w:val="2EC95313"/>
    <w:rsid w:val="40CC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215AD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2025-11-11T09:57:00Z</dcterms:created>
  <dcterms:modified xsi:type="dcterms:W3CDTF">2025-12-14T10:28:00Z</dcterms:modified>
</cp:coreProperties>
</file>