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B6D9" w14:textId="564B9F01" w:rsidR="00242117" w:rsidRDefault="004A4D70" w:rsidP="0024211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en-NZ"/>
        </w:rPr>
        <w:drawing>
          <wp:inline distT="0" distB="0" distL="0" distR="0" wp14:anchorId="0641B710" wp14:editId="6713B82A">
            <wp:extent cx="2084705" cy="504825"/>
            <wp:effectExtent l="0" t="0" r="0" b="952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2063" w14:textId="77777777" w:rsidR="00DA4E6D" w:rsidRDefault="00DA4E6D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DB" w14:textId="2774F414" w:rsidR="00242117" w:rsidRDefault="003B700C" w:rsidP="0024211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DA4E6D">
        <w:rPr>
          <w:rFonts w:ascii="Verdana" w:hAnsi="Verdana"/>
          <w:sz w:val="20"/>
          <w:szCs w:val="20"/>
        </w:rPr>
        <w:t xml:space="preserve"> August</w:t>
      </w:r>
      <w:r w:rsidR="004571BD">
        <w:rPr>
          <w:rFonts w:ascii="Verdana" w:hAnsi="Verdana"/>
          <w:sz w:val="20"/>
          <w:szCs w:val="20"/>
        </w:rPr>
        <w:t xml:space="preserve"> 2019</w:t>
      </w:r>
    </w:p>
    <w:p w14:paraId="0641B6DC" w14:textId="77777777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CE182D" w14:textId="77777777" w:rsidR="00733F0F" w:rsidRDefault="00733F0F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119EF927" w14:textId="36401E48" w:rsidR="000163C9" w:rsidRDefault="000163C9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Phase 2 of the Reserve Bank Act Review</w:t>
      </w:r>
    </w:p>
    <w:p w14:paraId="54D671B8" w14:textId="588FDB7C" w:rsidR="00C81459" w:rsidRDefault="00C81459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Treasury</w:t>
      </w:r>
    </w:p>
    <w:p w14:paraId="21E41A5C" w14:textId="7FD12B6A" w:rsidR="00C81459" w:rsidRDefault="00C81459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 Box 3724</w:t>
      </w:r>
    </w:p>
    <w:p w14:paraId="59A57A4C" w14:textId="3348F9AC" w:rsidR="00997E6F" w:rsidRDefault="00997E6F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Wellington 6140</w:t>
      </w:r>
    </w:p>
    <w:p w14:paraId="3504CD15" w14:textId="6B8A2435" w:rsidR="00B7130C" w:rsidRDefault="00997E6F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New Zealand</w:t>
      </w:r>
    </w:p>
    <w:p w14:paraId="0641B6E0" w14:textId="77777777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1" w14:textId="4A467014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By email: </w:t>
      </w:r>
      <w:bookmarkStart w:id="0" w:name="_GoBack"/>
      <w:r w:rsidR="003E45B6">
        <w:fldChar w:fldCharType="begin"/>
      </w:r>
      <w:r w:rsidR="003E45B6">
        <w:instrText xml:space="preserve"> HYPERLINK "mailto:rbnzactreview@treasury.govt.nz" </w:instrText>
      </w:r>
      <w:r w:rsidR="003E45B6">
        <w:fldChar w:fldCharType="separate"/>
      </w:r>
      <w:r w:rsidR="00C81459" w:rsidRPr="00303596">
        <w:rPr>
          <w:rStyle w:val="Hyperlink"/>
          <w:rFonts w:ascii="Verdana" w:hAnsi="Verdana"/>
          <w:sz w:val="20"/>
          <w:szCs w:val="20"/>
        </w:rPr>
        <w:t>rbnzactreview@treasury.govt.nz</w:t>
      </w:r>
      <w:r w:rsidR="003E45B6">
        <w:rPr>
          <w:rStyle w:val="Hyperlink"/>
          <w:rFonts w:ascii="Verdana" w:hAnsi="Verdana"/>
          <w:sz w:val="20"/>
          <w:szCs w:val="20"/>
        </w:rPr>
        <w:fldChar w:fldCharType="end"/>
      </w:r>
      <w:bookmarkEnd w:id="0"/>
    </w:p>
    <w:p w14:paraId="0641B6E2" w14:textId="0726E3A6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3" w14:textId="77777777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1434EA" w14:textId="77777777" w:rsidR="00733F0F" w:rsidRPr="00DB32E3" w:rsidRDefault="00733F0F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4" w14:textId="77777777" w:rsidR="00242117" w:rsidRDefault="00242117" w:rsidP="0024211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32E3">
        <w:rPr>
          <w:rFonts w:ascii="Verdana" w:hAnsi="Verdana"/>
          <w:b/>
          <w:sz w:val="20"/>
          <w:szCs w:val="20"/>
        </w:rPr>
        <w:t xml:space="preserve">SUBMISSION on </w:t>
      </w:r>
    </w:p>
    <w:p w14:paraId="3C4CD222" w14:textId="7B342D52" w:rsidR="00F92664" w:rsidRDefault="00997E6F" w:rsidP="0024211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“</w:t>
      </w:r>
      <w:r w:rsidR="00DA4E6D">
        <w:rPr>
          <w:rFonts w:ascii="Verdana" w:hAnsi="Verdana"/>
          <w:b/>
          <w:sz w:val="20"/>
          <w:szCs w:val="20"/>
        </w:rPr>
        <w:t>Safeguarding the future of our financial system</w:t>
      </w:r>
      <w:r>
        <w:rPr>
          <w:rFonts w:ascii="Verdana" w:hAnsi="Verdana"/>
          <w:b/>
          <w:sz w:val="20"/>
          <w:szCs w:val="20"/>
        </w:rPr>
        <w:t xml:space="preserve">” </w:t>
      </w:r>
    </w:p>
    <w:p w14:paraId="0641B6E6" w14:textId="243A547C" w:rsidR="00242117" w:rsidRPr="00DB32E3" w:rsidRDefault="00C81459" w:rsidP="0024211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Consultation</w:t>
      </w:r>
      <w:r w:rsidR="00997E6F">
        <w:rPr>
          <w:rFonts w:ascii="Verdana" w:hAnsi="Verdana"/>
          <w:b/>
          <w:sz w:val="20"/>
          <w:szCs w:val="20"/>
        </w:rPr>
        <w:t xml:space="preserve"> </w:t>
      </w:r>
      <w:r w:rsidR="00DA4E6D">
        <w:rPr>
          <w:rFonts w:ascii="Verdana" w:hAnsi="Verdana"/>
          <w:b/>
          <w:sz w:val="20"/>
          <w:szCs w:val="20"/>
        </w:rPr>
        <w:t>Documents 2A and 2B</w:t>
      </w:r>
    </w:p>
    <w:p w14:paraId="0641B6E8" w14:textId="77777777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5FE904" w14:textId="77777777" w:rsidR="00733F0F" w:rsidRDefault="00733F0F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A" w14:textId="692F40AF" w:rsidR="005B06CB" w:rsidRDefault="001F0DFF" w:rsidP="00FD5AE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ab/>
      </w:r>
      <w:r w:rsidR="005B06CB">
        <w:rPr>
          <w:rFonts w:ascii="Verdana" w:hAnsi="Verdana"/>
          <w:b/>
          <w:sz w:val="20"/>
          <w:szCs w:val="20"/>
        </w:rPr>
        <w:t>Introduction</w:t>
      </w:r>
    </w:p>
    <w:p w14:paraId="1EA7D4C5" w14:textId="77777777" w:rsidR="00FD5AE2" w:rsidRDefault="00FD5AE2" w:rsidP="00FD5AE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D15AE8" w14:textId="4EAED2C9" w:rsidR="000C6B64" w:rsidRDefault="000C6B64" w:rsidP="00FD5AE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Thank you for the opportunity to make a </w:t>
      </w:r>
      <w:r w:rsidR="00DA4E6D">
        <w:rPr>
          <w:rFonts w:ascii="Verdana" w:hAnsi="Verdana"/>
          <w:sz w:val="20"/>
          <w:szCs w:val="20"/>
        </w:rPr>
        <w:t xml:space="preserve">further </w:t>
      </w:r>
      <w:r>
        <w:rPr>
          <w:rFonts w:ascii="Verdana" w:hAnsi="Verdana"/>
          <w:sz w:val="20"/>
          <w:szCs w:val="20"/>
        </w:rPr>
        <w:t xml:space="preserve">submission on </w:t>
      </w:r>
      <w:r w:rsidR="003B700C">
        <w:rPr>
          <w:rFonts w:ascii="Verdana" w:hAnsi="Verdana"/>
          <w:sz w:val="20"/>
          <w:szCs w:val="20"/>
        </w:rPr>
        <w:t>P</w:t>
      </w:r>
      <w:r w:rsidR="00C81459">
        <w:rPr>
          <w:rFonts w:ascii="Verdana" w:hAnsi="Verdana"/>
          <w:sz w:val="20"/>
          <w:szCs w:val="20"/>
        </w:rPr>
        <w:t>hase 2 of the Reserve Bank Act</w:t>
      </w:r>
      <w:r w:rsidR="00DA4E6D">
        <w:rPr>
          <w:rFonts w:ascii="Verdana" w:hAnsi="Verdana"/>
          <w:sz w:val="20"/>
          <w:szCs w:val="20"/>
        </w:rPr>
        <w:t xml:space="preserve"> review</w:t>
      </w:r>
      <w:r>
        <w:rPr>
          <w:rFonts w:ascii="Verdana" w:hAnsi="Verdana"/>
          <w:sz w:val="20"/>
          <w:szCs w:val="20"/>
        </w:rPr>
        <w:t xml:space="preserve">. </w:t>
      </w:r>
      <w:r w:rsidRPr="00FC5CBA">
        <w:rPr>
          <w:rFonts w:ascii="Verdana" w:hAnsi="Verdana"/>
          <w:sz w:val="20"/>
          <w:szCs w:val="20"/>
        </w:rPr>
        <w:t>This submission is from Consumer N</w:t>
      </w:r>
      <w:r>
        <w:rPr>
          <w:rFonts w:ascii="Verdana" w:hAnsi="Verdana"/>
          <w:sz w:val="20"/>
          <w:szCs w:val="20"/>
        </w:rPr>
        <w:t xml:space="preserve">Z, </w:t>
      </w:r>
      <w:r w:rsidRPr="00FC5CBA">
        <w:rPr>
          <w:rFonts w:ascii="Verdana" w:hAnsi="Verdana"/>
          <w:sz w:val="20"/>
          <w:szCs w:val="20"/>
        </w:rPr>
        <w:t>New Zealand’s leading consumer organisation. It has an acknowledged and respected reputation for independence and fai</w:t>
      </w:r>
      <w:r>
        <w:rPr>
          <w:rFonts w:ascii="Verdana" w:hAnsi="Verdana"/>
          <w:sz w:val="20"/>
          <w:szCs w:val="20"/>
        </w:rPr>
        <w:t>rness as a provider of impartial</w:t>
      </w:r>
      <w:r w:rsidRPr="00FC5CBA">
        <w:rPr>
          <w:rFonts w:ascii="Verdana" w:hAnsi="Verdana"/>
          <w:sz w:val="20"/>
          <w:szCs w:val="20"/>
        </w:rPr>
        <w:t xml:space="preserve"> and comprehensive consumer information and advice</w:t>
      </w:r>
      <w:r>
        <w:rPr>
          <w:rFonts w:ascii="Verdana" w:hAnsi="Verdana"/>
          <w:sz w:val="20"/>
          <w:szCs w:val="20"/>
        </w:rPr>
        <w:t>.</w:t>
      </w:r>
    </w:p>
    <w:p w14:paraId="17F1DA6E" w14:textId="77777777" w:rsidR="00FD5AE2" w:rsidRDefault="00FD5AE2" w:rsidP="00FD5AE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641B6EE" w14:textId="5BB18D3B" w:rsidR="005B06CB" w:rsidRPr="00FC5CBA" w:rsidRDefault="000C6B64" w:rsidP="000C6B64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</w:r>
      <w:r w:rsidR="00FD5AE2">
        <w:rPr>
          <w:rFonts w:ascii="Verdana" w:hAnsi="Verdana"/>
          <w:sz w:val="20"/>
          <w:szCs w:val="20"/>
        </w:rPr>
        <w:t xml:space="preserve">Aneleise Gawn </w:t>
      </w:r>
    </w:p>
    <w:p w14:paraId="0641B6EF" w14:textId="77777777" w:rsidR="005B06CB" w:rsidRPr="00FC5CBA" w:rsidRDefault="005B06CB" w:rsidP="000C6B64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Consumer NZ</w:t>
      </w:r>
    </w:p>
    <w:p w14:paraId="0641B6F0" w14:textId="77777777" w:rsidR="005B06CB" w:rsidRPr="00FC5CBA" w:rsidRDefault="005B06CB" w:rsidP="000C6B64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>Private Bag 6996</w:t>
      </w:r>
    </w:p>
    <w:p w14:paraId="0641B6F1" w14:textId="63D8E33F" w:rsidR="005B06CB" w:rsidRPr="00FC5CBA" w:rsidRDefault="000C6B64" w:rsidP="005B06C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B06CB" w:rsidRPr="00FC5CBA">
        <w:rPr>
          <w:rFonts w:ascii="Verdana" w:hAnsi="Verdana"/>
          <w:sz w:val="20"/>
          <w:szCs w:val="20"/>
        </w:rPr>
        <w:t>Wellington 6141</w:t>
      </w:r>
    </w:p>
    <w:p w14:paraId="0641B6F2" w14:textId="0B2DC0CF" w:rsidR="005B06CB" w:rsidRPr="00FC5CBA" w:rsidRDefault="000C6B64" w:rsidP="005B06C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B06CB" w:rsidRPr="00FC5CBA">
        <w:rPr>
          <w:rFonts w:ascii="Verdana" w:hAnsi="Verdana"/>
          <w:sz w:val="20"/>
          <w:szCs w:val="20"/>
        </w:rPr>
        <w:t xml:space="preserve">Phone: 04 </w:t>
      </w:r>
      <w:r w:rsidR="005B06CB">
        <w:rPr>
          <w:rFonts w:ascii="Verdana" w:hAnsi="Verdana"/>
          <w:sz w:val="20"/>
          <w:szCs w:val="20"/>
        </w:rPr>
        <w:t xml:space="preserve">384 7963 </w:t>
      </w:r>
    </w:p>
    <w:p w14:paraId="0641B6F3" w14:textId="71BBD39F" w:rsidR="005B06CB" w:rsidRDefault="000C6B64" w:rsidP="005B06C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B06CB">
        <w:rPr>
          <w:rFonts w:ascii="Verdana" w:hAnsi="Verdana"/>
          <w:sz w:val="20"/>
          <w:szCs w:val="20"/>
        </w:rPr>
        <w:t xml:space="preserve">Email: </w:t>
      </w:r>
      <w:hyperlink r:id="rId9" w:history="1">
        <w:r w:rsidR="00FD5AE2" w:rsidRPr="00A3652E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14:paraId="0641B6F4" w14:textId="77777777" w:rsidR="005B06CB" w:rsidRPr="00FC5CBA" w:rsidRDefault="005B06CB" w:rsidP="005B06C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3204F7" w14:textId="486478AE" w:rsidR="000C6B64" w:rsidRDefault="00F92664" w:rsidP="0002603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5D6650">
        <w:rPr>
          <w:rFonts w:ascii="Verdana" w:hAnsi="Verdana"/>
          <w:b/>
          <w:sz w:val="20"/>
          <w:szCs w:val="20"/>
        </w:rPr>
        <w:t>.</w:t>
      </w:r>
      <w:r w:rsidR="005D6650">
        <w:rPr>
          <w:rFonts w:ascii="Verdana" w:hAnsi="Verdana"/>
          <w:b/>
          <w:sz w:val="20"/>
          <w:szCs w:val="20"/>
        </w:rPr>
        <w:tab/>
      </w:r>
      <w:r w:rsidR="00EF5604">
        <w:rPr>
          <w:rFonts w:ascii="Verdana" w:hAnsi="Verdana"/>
          <w:b/>
          <w:sz w:val="20"/>
          <w:szCs w:val="20"/>
        </w:rPr>
        <w:t xml:space="preserve">Our </w:t>
      </w:r>
      <w:r w:rsidR="00582CF0">
        <w:rPr>
          <w:rFonts w:ascii="Verdana" w:hAnsi="Verdana"/>
          <w:b/>
          <w:sz w:val="20"/>
          <w:szCs w:val="20"/>
        </w:rPr>
        <w:t>comments</w:t>
      </w:r>
    </w:p>
    <w:p w14:paraId="32FB50DB" w14:textId="77777777" w:rsidR="004571BD" w:rsidRDefault="004571BD" w:rsidP="0002603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1BEBCD" w14:textId="5513E7B7" w:rsidR="00EF5604" w:rsidRDefault="003B700C" w:rsidP="0002603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Given the timeframe for making submissions, </w:t>
      </w:r>
      <w:r w:rsidR="00922989">
        <w:rPr>
          <w:rFonts w:ascii="Verdana" w:hAnsi="Verdana"/>
          <w:color w:val="000000" w:themeColor="text1"/>
          <w:sz w:val="20"/>
          <w:szCs w:val="20"/>
        </w:rPr>
        <w:t>w</w:t>
      </w:r>
      <w:r w:rsidR="00A016D5"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="00922989">
        <w:rPr>
          <w:rFonts w:ascii="Verdana" w:hAnsi="Verdana"/>
          <w:color w:val="000000" w:themeColor="text1"/>
          <w:sz w:val="20"/>
          <w:szCs w:val="20"/>
        </w:rPr>
        <w:t xml:space="preserve">have focused our comments on </w:t>
      </w:r>
      <w:r w:rsidR="00EF5604">
        <w:rPr>
          <w:rFonts w:ascii="Verdana" w:hAnsi="Verdana"/>
          <w:color w:val="000000" w:themeColor="text1"/>
          <w:sz w:val="20"/>
          <w:szCs w:val="20"/>
        </w:rPr>
        <w:t xml:space="preserve">two </w:t>
      </w:r>
      <w:r w:rsidR="00660162">
        <w:rPr>
          <w:rFonts w:ascii="Verdana" w:hAnsi="Verdana"/>
          <w:color w:val="000000" w:themeColor="text1"/>
          <w:sz w:val="20"/>
          <w:szCs w:val="20"/>
        </w:rPr>
        <w:t>issues</w:t>
      </w:r>
      <w:r w:rsidR="00922989">
        <w:rPr>
          <w:rFonts w:ascii="Verdana" w:hAnsi="Verdana"/>
          <w:color w:val="000000" w:themeColor="text1"/>
          <w:sz w:val="20"/>
          <w:szCs w:val="20"/>
        </w:rPr>
        <w:t>:</w:t>
      </w:r>
      <w:r w:rsidR="00EF560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A4E6D">
        <w:rPr>
          <w:rFonts w:ascii="Verdana" w:hAnsi="Verdana"/>
          <w:color w:val="000000" w:themeColor="text1"/>
          <w:sz w:val="20"/>
          <w:szCs w:val="20"/>
        </w:rPr>
        <w:t>depositor protection</w:t>
      </w:r>
      <w:r w:rsidR="00922989">
        <w:rPr>
          <w:rFonts w:ascii="Verdana" w:hAnsi="Verdana"/>
          <w:color w:val="000000" w:themeColor="text1"/>
          <w:sz w:val="20"/>
          <w:szCs w:val="20"/>
        </w:rPr>
        <w:t>,</w:t>
      </w:r>
      <w:r w:rsidR="00DA4E6D">
        <w:rPr>
          <w:rFonts w:ascii="Verdana" w:hAnsi="Verdana"/>
          <w:color w:val="000000" w:themeColor="text1"/>
          <w:sz w:val="20"/>
          <w:szCs w:val="20"/>
        </w:rPr>
        <w:t xml:space="preserve"> and supervision and enforcement</w:t>
      </w:r>
      <w:r w:rsidR="00922989">
        <w:rPr>
          <w:rFonts w:ascii="Verdana" w:hAnsi="Verdana"/>
          <w:color w:val="000000" w:themeColor="text1"/>
          <w:sz w:val="20"/>
          <w:szCs w:val="20"/>
        </w:rPr>
        <w:t xml:space="preserve"> powers</w:t>
      </w:r>
      <w:r w:rsidR="00DA4E6D">
        <w:rPr>
          <w:rFonts w:ascii="Verdana" w:hAnsi="Verdana"/>
          <w:color w:val="000000" w:themeColor="text1"/>
          <w:sz w:val="20"/>
          <w:szCs w:val="20"/>
        </w:rPr>
        <w:t>.</w:t>
      </w:r>
      <w:r w:rsidR="004568E3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98E4F4D" w14:textId="77777777" w:rsidR="00EF5604" w:rsidRDefault="00EF5604" w:rsidP="00026031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6E5B66AD" w14:textId="101B8E2F" w:rsidR="00EF5604" w:rsidRDefault="00EF5604" w:rsidP="00026031">
      <w:pPr>
        <w:spacing w:after="0" w:line="240" w:lineRule="auto"/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Depositor </w:t>
      </w:r>
      <w:r w:rsidR="00322152">
        <w:rPr>
          <w:rFonts w:ascii="Verdana" w:hAnsi="Verdana"/>
          <w:b/>
          <w:i/>
          <w:color w:val="000000" w:themeColor="text1"/>
          <w:sz w:val="20"/>
          <w:szCs w:val="20"/>
        </w:rPr>
        <w:t>p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>rotection</w:t>
      </w:r>
      <w:r w:rsidR="00D52784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(consultation document 2A, chapter 5)</w:t>
      </w:r>
    </w:p>
    <w:p w14:paraId="298E8BA6" w14:textId="77777777" w:rsidR="00EF5604" w:rsidRDefault="00EF5604" w:rsidP="00EF5604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7695F494" w14:textId="77777777" w:rsidR="00922989" w:rsidRDefault="00922989" w:rsidP="00EF560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</w:t>
      </w:r>
      <w:r w:rsidR="00EF5604">
        <w:rPr>
          <w:rFonts w:ascii="Verdana" w:hAnsi="Verdana"/>
          <w:sz w:val="20"/>
          <w:szCs w:val="20"/>
        </w:rPr>
        <w:t xml:space="preserve"> strongly support the introduction of a deposit guarantee scheme</w:t>
      </w:r>
      <w:r>
        <w:rPr>
          <w:rFonts w:ascii="Verdana" w:hAnsi="Verdana"/>
          <w:sz w:val="20"/>
          <w:szCs w:val="20"/>
        </w:rPr>
        <w:t xml:space="preserve"> and </w:t>
      </w:r>
      <w:r w:rsidR="00EF5604">
        <w:rPr>
          <w:rFonts w:ascii="Verdana" w:hAnsi="Verdana"/>
          <w:sz w:val="20"/>
          <w:szCs w:val="20"/>
        </w:rPr>
        <w:t xml:space="preserve">are pleased to see an in-principle decision </w:t>
      </w:r>
      <w:proofErr w:type="gramStart"/>
      <w:r>
        <w:rPr>
          <w:rFonts w:ascii="Verdana" w:hAnsi="Verdana"/>
          <w:sz w:val="20"/>
          <w:szCs w:val="20"/>
        </w:rPr>
        <w:t>has been made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EF5604">
        <w:rPr>
          <w:rFonts w:ascii="Verdana" w:hAnsi="Verdana"/>
          <w:sz w:val="20"/>
          <w:szCs w:val="20"/>
        </w:rPr>
        <w:t xml:space="preserve">to start developing </w:t>
      </w:r>
      <w:r w:rsidR="00DF13AF">
        <w:rPr>
          <w:rFonts w:ascii="Verdana" w:hAnsi="Verdana"/>
          <w:sz w:val="20"/>
          <w:szCs w:val="20"/>
        </w:rPr>
        <w:t>such a scheme</w:t>
      </w:r>
      <w:r w:rsidR="00EF5604">
        <w:rPr>
          <w:rFonts w:ascii="Verdana" w:hAnsi="Verdana"/>
          <w:sz w:val="20"/>
          <w:szCs w:val="20"/>
        </w:rPr>
        <w:t>.</w:t>
      </w:r>
      <w:r w:rsidR="006601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However, while we support this decision, </w:t>
      </w:r>
      <w:r w:rsidR="00EF5604">
        <w:rPr>
          <w:rFonts w:ascii="Verdana" w:hAnsi="Verdana"/>
          <w:sz w:val="20"/>
          <w:szCs w:val="20"/>
        </w:rPr>
        <w:t xml:space="preserve">we believe </w:t>
      </w:r>
      <w:r w:rsidR="00F825A2">
        <w:rPr>
          <w:rFonts w:ascii="Verdana" w:hAnsi="Verdana"/>
          <w:sz w:val="20"/>
          <w:szCs w:val="20"/>
        </w:rPr>
        <w:t>the proposed</w:t>
      </w:r>
      <w:r w:rsidR="00266ECA">
        <w:rPr>
          <w:rFonts w:ascii="Verdana" w:hAnsi="Verdana"/>
          <w:sz w:val="20"/>
          <w:szCs w:val="20"/>
        </w:rPr>
        <w:t xml:space="preserve"> limit of $30,000 to $50,000 </w:t>
      </w:r>
      <w:r w:rsidR="007C1350">
        <w:rPr>
          <w:rFonts w:ascii="Verdana" w:hAnsi="Verdana"/>
          <w:sz w:val="20"/>
          <w:szCs w:val="20"/>
        </w:rPr>
        <w:t>may be too low</w:t>
      </w:r>
      <w:r w:rsidR="00EF5604">
        <w:rPr>
          <w:rFonts w:ascii="Verdana" w:hAnsi="Verdana"/>
          <w:sz w:val="20"/>
          <w:szCs w:val="20"/>
        </w:rPr>
        <w:t>.</w:t>
      </w:r>
      <w:r w:rsidR="00266ECA">
        <w:rPr>
          <w:rFonts w:ascii="Verdana" w:hAnsi="Verdana"/>
          <w:sz w:val="20"/>
          <w:szCs w:val="20"/>
        </w:rPr>
        <w:t xml:space="preserve"> </w:t>
      </w:r>
    </w:p>
    <w:p w14:paraId="753B9529" w14:textId="77777777" w:rsidR="00922989" w:rsidRDefault="00922989" w:rsidP="00EF560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C287FA" w14:textId="7886D338" w:rsidR="00F825A2" w:rsidRDefault="00266ECA" w:rsidP="00EF560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D52784">
        <w:rPr>
          <w:rFonts w:ascii="Verdana" w:hAnsi="Verdana"/>
          <w:sz w:val="20"/>
          <w:szCs w:val="20"/>
        </w:rPr>
        <w:t>he consultation document</w:t>
      </w:r>
      <w:r>
        <w:rPr>
          <w:rFonts w:ascii="Verdana" w:hAnsi="Verdana"/>
          <w:sz w:val="20"/>
          <w:szCs w:val="20"/>
        </w:rPr>
        <w:t xml:space="preserve"> states a limit of $30,000 to $50,000 </w:t>
      </w:r>
      <w:r w:rsidR="00D52784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would not be out of line with international practice</w:t>
      </w:r>
      <w:r w:rsidR="00D52784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. </w:t>
      </w:r>
      <w:r w:rsidR="00D52784">
        <w:rPr>
          <w:rFonts w:ascii="Verdana" w:hAnsi="Verdana"/>
          <w:sz w:val="20"/>
          <w:szCs w:val="20"/>
        </w:rPr>
        <w:t>However, f</w:t>
      </w:r>
      <w:r>
        <w:rPr>
          <w:rFonts w:ascii="Verdana" w:hAnsi="Verdana"/>
          <w:sz w:val="20"/>
          <w:szCs w:val="20"/>
        </w:rPr>
        <w:t>igure 5D on page 100 of</w:t>
      </w:r>
      <w:r w:rsidR="00D52784">
        <w:rPr>
          <w:rFonts w:ascii="Verdana" w:hAnsi="Verdana"/>
          <w:sz w:val="20"/>
          <w:szCs w:val="20"/>
        </w:rPr>
        <w:t xml:space="preserve"> c</w:t>
      </w:r>
      <w:r>
        <w:rPr>
          <w:rFonts w:ascii="Verdana" w:hAnsi="Verdana"/>
          <w:sz w:val="20"/>
          <w:szCs w:val="20"/>
        </w:rPr>
        <w:t>onsultation</w:t>
      </w:r>
      <w:r w:rsidR="00D52784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 xml:space="preserve">ocument 2A </w:t>
      </w:r>
      <w:r w:rsidR="00922989">
        <w:rPr>
          <w:rFonts w:ascii="Verdana" w:hAnsi="Verdana"/>
          <w:sz w:val="20"/>
          <w:szCs w:val="20"/>
        </w:rPr>
        <w:t>shows</w:t>
      </w:r>
      <w:r>
        <w:rPr>
          <w:rFonts w:ascii="Verdana" w:hAnsi="Verdana"/>
          <w:sz w:val="20"/>
          <w:szCs w:val="20"/>
        </w:rPr>
        <w:t xml:space="preserve"> the majority of </w:t>
      </w:r>
      <w:r w:rsidR="007C1350">
        <w:rPr>
          <w:rFonts w:ascii="Verdana" w:hAnsi="Verdana"/>
          <w:sz w:val="20"/>
          <w:szCs w:val="20"/>
        </w:rPr>
        <w:t>OECD countries</w:t>
      </w:r>
      <w:r>
        <w:rPr>
          <w:rFonts w:ascii="Verdana" w:hAnsi="Verdana"/>
          <w:sz w:val="20"/>
          <w:szCs w:val="20"/>
        </w:rPr>
        <w:t xml:space="preserve"> have limits of a</w:t>
      </w:r>
      <w:r w:rsidR="00922989">
        <w:rPr>
          <w:rFonts w:ascii="Verdana" w:hAnsi="Verdana"/>
          <w:sz w:val="20"/>
          <w:szCs w:val="20"/>
        </w:rPr>
        <w:t>bout</w:t>
      </w:r>
      <w:r>
        <w:rPr>
          <w:rFonts w:ascii="Verdana" w:hAnsi="Verdana"/>
          <w:sz w:val="20"/>
          <w:szCs w:val="20"/>
        </w:rPr>
        <w:t xml:space="preserve"> $150,000. </w:t>
      </w:r>
      <w:r w:rsidR="00322152">
        <w:rPr>
          <w:rFonts w:ascii="Verdana" w:hAnsi="Verdana"/>
          <w:sz w:val="20"/>
          <w:szCs w:val="20"/>
        </w:rPr>
        <w:t>The figure shows o</w:t>
      </w:r>
      <w:r>
        <w:rPr>
          <w:rFonts w:ascii="Verdana" w:hAnsi="Verdana"/>
          <w:sz w:val="20"/>
          <w:szCs w:val="20"/>
        </w:rPr>
        <w:t>nly two countries</w:t>
      </w:r>
      <w:r w:rsidR="00322152">
        <w:rPr>
          <w:rFonts w:ascii="Verdana" w:hAnsi="Verdana"/>
          <w:sz w:val="20"/>
          <w:szCs w:val="20"/>
        </w:rPr>
        <w:t xml:space="preserve"> (</w:t>
      </w:r>
      <w:r w:rsidR="00F825A2">
        <w:rPr>
          <w:rFonts w:ascii="Verdana" w:hAnsi="Verdana"/>
          <w:sz w:val="20"/>
          <w:szCs w:val="20"/>
        </w:rPr>
        <w:t>Chile and Iceland</w:t>
      </w:r>
      <w:r w:rsidR="00322152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have limits lower than that proposed</w:t>
      </w:r>
      <w:r w:rsidR="00F825A2">
        <w:rPr>
          <w:rFonts w:ascii="Verdana" w:hAnsi="Verdana"/>
          <w:sz w:val="20"/>
          <w:szCs w:val="20"/>
        </w:rPr>
        <w:t xml:space="preserve"> for New Zealand</w:t>
      </w:r>
      <w:r>
        <w:rPr>
          <w:rFonts w:ascii="Verdana" w:hAnsi="Verdana"/>
          <w:sz w:val="20"/>
          <w:szCs w:val="20"/>
        </w:rPr>
        <w:t>.</w:t>
      </w:r>
      <w:r w:rsidR="007C135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</w:p>
    <w:p w14:paraId="7E351E6A" w14:textId="77777777" w:rsidR="00F825A2" w:rsidRDefault="00F825A2" w:rsidP="00EF560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0A2592" w14:textId="476578E6" w:rsidR="00660162" w:rsidRDefault="00922989" w:rsidP="00EF560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consider there should be </w:t>
      </w:r>
      <w:r w:rsidR="007C1350">
        <w:rPr>
          <w:rFonts w:ascii="Verdana" w:hAnsi="Verdana"/>
          <w:sz w:val="20"/>
          <w:szCs w:val="20"/>
        </w:rPr>
        <w:t xml:space="preserve">further analysis </w:t>
      </w:r>
      <w:r w:rsidR="007E5429">
        <w:rPr>
          <w:rFonts w:ascii="Verdana" w:hAnsi="Verdana"/>
          <w:sz w:val="20"/>
          <w:szCs w:val="20"/>
        </w:rPr>
        <w:t>of deposits held in New Zealand</w:t>
      </w:r>
      <w:r w:rsidR="007C1350">
        <w:rPr>
          <w:rFonts w:ascii="Verdana" w:hAnsi="Verdana"/>
          <w:sz w:val="20"/>
          <w:szCs w:val="20"/>
        </w:rPr>
        <w:t xml:space="preserve"> </w:t>
      </w:r>
      <w:r w:rsidR="007E5429">
        <w:rPr>
          <w:rFonts w:ascii="Verdana" w:hAnsi="Verdana"/>
          <w:sz w:val="20"/>
          <w:szCs w:val="20"/>
        </w:rPr>
        <w:t xml:space="preserve">to ensure the </w:t>
      </w:r>
      <w:r>
        <w:rPr>
          <w:rFonts w:ascii="Verdana" w:hAnsi="Verdana"/>
          <w:sz w:val="20"/>
          <w:szCs w:val="20"/>
        </w:rPr>
        <w:t xml:space="preserve">proposed </w:t>
      </w:r>
      <w:r w:rsidR="007E5429">
        <w:rPr>
          <w:rFonts w:ascii="Verdana" w:hAnsi="Verdana"/>
          <w:sz w:val="20"/>
          <w:szCs w:val="20"/>
        </w:rPr>
        <w:t>limit will provide adequate coverage.</w:t>
      </w:r>
      <w:r w:rsidR="003F22E1">
        <w:rPr>
          <w:rFonts w:ascii="Verdana" w:hAnsi="Verdana"/>
          <w:sz w:val="20"/>
          <w:szCs w:val="20"/>
        </w:rPr>
        <w:t xml:space="preserve"> We </w:t>
      </w:r>
      <w:r>
        <w:rPr>
          <w:rFonts w:ascii="Verdana" w:hAnsi="Verdana"/>
          <w:sz w:val="20"/>
          <w:szCs w:val="20"/>
        </w:rPr>
        <w:t xml:space="preserve">would also like to see additional analysis to determine whether </w:t>
      </w:r>
      <w:r w:rsidR="003F22E1">
        <w:rPr>
          <w:rFonts w:ascii="Verdana" w:hAnsi="Verdana"/>
          <w:sz w:val="20"/>
          <w:szCs w:val="20"/>
        </w:rPr>
        <w:t>particular groups</w:t>
      </w:r>
      <w:r>
        <w:rPr>
          <w:rFonts w:ascii="Verdana" w:hAnsi="Verdana"/>
          <w:sz w:val="20"/>
          <w:szCs w:val="20"/>
        </w:rPr>
        <w:t xml:space="preserve">, such as retirees who may have limited access to other income sources, </w:t>
      </w:r>
      <w:proofErr w:type="gramStart"/>
      <w:r w:rsidR="003F22E1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ould </w:t>
      </w:r>
      <w:r w:rsidR="003F22E1">
        <w:rPr>
          <w:rFonts w:ascii="Verdana" w:hAnsi="Verdana"/>
          <w:sz w:val="20"/>
          <w:szCs w:val="20"/>
        </w:rPr>
        <w:t xml:space="preserve">be </w:t>
      </w:r>
      <w:r>
        <w:rPr>
          <w:rFonts w:ascii="Verdana" w:hAnsi="Verdana"/>
          <w:sz w:val="20"/>
          <w:szCs w:val="20"/>
        </w:rPr>
        <w:t>more adversely affected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3F22E1">
        <w:rPr>
          <w:rFonts w:ascii="Verdana" w:hAnsi="Verdana"/>
          <w:sz w:val="20"/>
          <w:szCs w:val="20"/>
        </w:rPr>
        <w:t xml:space="preserve">by </w:t>
      </w:r>
      <w:r>
        <w:rPr>
          <w:rFonts w:ascii="Verdana" w:hAnsi="Verdana"/>
          <w:sz w:val="20"/>
          <w:szCs w:val="20"/>
        </w:rPr>
        <w:t>a l</w:t>
      </w:r>
      <w:r w:rsidR="003F22E1">
        <w:rPr>
          <w:rFonts w:ascii="Verdana" w:hAnsi="Verdana"/>
          <w:sz w:val="20"/>
          <w:szCs w:val="20"/>
        </w:rPr>
        <w:t xml:space="preserve">ow limit.  </w:t>
      </w:r>
      <w:r w:rsidR="00660162">
        <w:rPr>
          <w:rFonts w:ascii="Verdana" w:hAnsi="Verdana"/>
          <w:sz w:val="20"/>
          <w:szCs w:val="20"/>
        </w:rPr>
        <w:t xml:space="preserve"> </w:t>
      </w:r>
    </w:p>
    <w:p w14:paraId="73493B62" w14:textId="77777777" w:rsidR="00660162" w:rsidRDefault="00660162" w:rsidP="00EF560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FC01F7" w14:textId="4B240375" w:rsidR="007C1350" w:rsidRDefault="00922989" w:rsidP="00EF560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Based on available information, our preference would be for a </w:t>
      </w:r>
      <w:r w:rsidR="00660162">
        <w:rPr>
          <w:rFonts w:ascii="Verdana" w:hAnsi="Verdana"/>
          <w:sz w:val="20"/>
          <w:szCs w:val="20"/>
        </w:rPr>
        <w:t>limit of $100,000 to $150,000</w:t>
      </w:r>
      <w:r>
        <w:rPr>
          <w:rFonts w:ascii="Verdana" w:hAnsi="Verdana"/>
          <w:sz w:val="20"/>
          <w:szCs w:val="20"/>
        </w:rPr>
        <w:t>, similar to other OECD countries</w:t>
      </w:r>
      <w:r w:rsidR="00660162">
        <w:rPr>
          <w:rFonts w:ascii="Verdana" w:hAnsi="Verdana"/>
          <w:sz w:val="20"/>
          <w:szCs w:val="20"/>
        </w:rPr>
        <w:t xml:space="preserve">. </w:t>
      </w:r>
      <w:r w:rsidR="007C1350">
        <w:rPr>
          <w:rFonts w:ascii="Verdana" w:hAnsi="Verdana"/>
          <w:sz w:val="20"/>
          <w:szCs w:val="20"/>
        </w:rPr>
        <w:t xml:space="preserve"> </w:t>
      </w:r>
    </w:p>
    <w:p w14:paraId="6984C3D3" w14:textId="6751A61F" w:rsidR="00EF1C86" w:rsidRDefault="00EF1C86" w:rsidP="0002603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6867C51" w14:textId="36E2A76F" w:rsidR="00EF1C86" w:rsidRDefault="4BAB97D0" w:rsidP="4BAB97D0">
      <w:pPr>
        <w:spacing w:after="0" w:line="240" w:lineRule="auto"/>
        <w:rPr>
          <w:rFonts w:ascii="Verdana" w:hAnsi="Verdana"/>
          <w:sz w:val="20"/>
          <w:szCs w:val="20"/>
        </w:rPr>
      </w:pPr>
      <w:r w:rsidRPr="4BAB97D0">
        <w:rPr>
          <w:rFonts w:ascii="Verdana" w:hAnsi="Verdana"/>
          <w:sz w:val="20"/>
          <w:szCs w:val="20"/>
        </w:rPr>
        <w:t>We support the objectives of the scheme being to protect depositors from loss</w:t>
      </w:r>
      <w:r w:rsidR="00922989">
        <w:rPr>
          <w:rFonts w:ascii="Verdana" w:hAnsi="Verdana"/>
          <w:sz w:val="20"/>
          <w:szCs w:val="20"/>
        </w:rPr>
        <w:t>,</w:t>
      </w:r>
      <w:r w:rsidRPr="4BAB97D0">
        <w:rPr>
          <w:rFonts w:ascii="Verdana" w:hAnsi="Verdana"/>
          <w:sz w:val="20"/>
          <w:szCs w:val="20"/>
        </w:rPr>
        <w:t xml:space="preserve"> as well as contributing to public confi</w:t>
      </w:r>
      <w:r w:rsidR="00922989">
        <w:rPr>
          <w:rFonts w:ascii="Verdana" w:hAnsi="Verdana"/>
          <w:sz w:val="20"/>
          <w:szCs w:val="20"/>
        </w:rPr>
        <w:t>dence and stability. W</w:t>
      </w:r>
      <w:r w:rsidRPr="4BAB97D0">
        <w:rPr>
          <w:rFonts w:ascii="Verdana" w:hAnsi="Verdana"/>
          <w:sz w:val="20"/>
          <w:szCs w:val="20"/>
        </w:rPr>
        <w:t xml:space="preserve">e </w:t>
      </w:r>
      <w:r w:rsidR="00922989">
        <w:rPr>
          <w:rFonts w:ascii="Verdana" w:hAnsi="Verdana"/>
          <w:sz w:val="20"/>
          <w:szCs w:val="20"/>
        </w:rPr>
        <w:t xml:space="preserve">also </w:t>
      </w:r>
      <w:r w:rsidRPr="4BAB97D0">
        <w:rPr>
          <w:rFonts w:ascii="Verdana" w:hAnsi="Verdana"/>
          <w:sz w:val="20"/>
          <w:szCs w:val="20"/>
        </w:rPr>
        <w:t>support depositors being a preferred class of creditor.</w:t>
      </w:r>
    </w:p>
    <w:p w14:paraId="5635D6CB" w14:textId="77777777" w:rsidR="00EF1C86" w:rsidRPr="007C1350" w:rsidRDefault="00EF1C86" w:rsidP="0002603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1E00398" w14:textId="5EA7EE1B" w:rsidR="00EF5604" w:rsidRDefault="00EF5604" w:rsidP="00026031">
      <w:pPr>
        <w:spacing w:after="0" w:line="240" w:lineRule="auto"/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>Supervisio</w:t>
      </w:r>
      <w:r w:rsidR="004720ED">
        <w:rPr>
          <w:rFonts w:ascii="Verdana" w:hAnsi="Verdana"/>
          <w:b/>
          <w:i/>
          <w:color w:val="000000" w:themeColor="text1"/>
          <w:sz w:val="20"/>
          <w:szCs w:val="20"/>
        </w:rPr>
        <w:t>n and e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>nforcement</w:t>
      </w:r>
      <w:r w:rsidR="00D52784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(consultation document 2B, chapter 3)</w:t>
      </w:r>
    </w:p>
    <w:p w14:paraId="06B5663A" w14:textId="77777777" w:rsidR="00EF5604" w:rsidRDefault="00EF5604" w:rsidP="00026031">
      <w:pPr>
        <w:spacing w:after="0" w:line="240" w:lineRule="auto"/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14:paraId="0D31F0D8" w14:textId="1EA1A76B" w:rsidR="00922989" w:rsidRDefault="4BAB97D0" w:rsidP="00922989">
      <w:pPr>
        <w:spacing w:after="0" w:line="240" w:lineRule="auto"/>
        <w:rPr>
          <w:rFonts w:ascii="Verdana" w:hAnsi="Verdana"/>
          <w:sz w:val="20"/>
          <w:szCs w:val="20"/>
        </w:rPr>
      </w:pPr>
      <w:r w:rsidRPr="4BAB97D0">
        <w:rPr>
          <w:rFonts w:ascii="Verdana" w:hAnsi="Verdana"/>
          <w:sz w:val="20"/>
          <w:szCs w:val="20"/>
        </w:rPr>
        <w:t xml:space="preserve">We consider </w:t>
      </w:r>
      <w:proofErr w:type="gramStart"/>
      <w:r w:rsidRPr="4BAB97D0">
        <w:rPr>
          <w:rFonts w:ascii="Verdana" w:hAnsi="Verdana"/>
          <w:sz w:val="20"/>
          <w:szCs w:val="20"/>
        </w:rPr>
        <w:t>the Reserve Bank’s approach to supervision has been too light-handed and is out of step with other jurisdictions</w:t>
      </w:r>
      <w:proofErr w:type="gramEnd"/>
      <w:r w:rsidRPr="4BAB97D0">
        <w:rPr>
          <w:rFonts w:ascii="Verdana" w:hAnsi="Verdana"/>
          <w:sz w:val="20"/>
          <w:szCs w:val="20"/>
        </w:rPr>
        <w:t xml:space="preserve">. </w:t>
      </w:r>
      <w:r w:rsidR="000843B4">
        <w:rPr>
          <w:rFonts w:ascii="Verdana" w:hAnsi="Verdana"/>
          <w:sz w:val="20"/>
          <w:szCs w:val="20"/>
        </w:rPr>
        <w:t>T</w:t>
      </w:r>
      <w:r w:rsidR="00922989">
        <w:rPr>
          <w:rFonts w:ascii="Verdana" w:hAnsi="Verdana"/>
          <w:sz w:val="20"/>
          <w:szCs w:val="20"/>
        </w:rPr>
        <w:t xml:space="preserve">he current approach increases the risk </w:t>
      </w:r>
      <w:r w:rsidR="000843B4">
        <w:rPr>
          <w:rFonts w:ascii="Verdana" w:hAnsi="Verdana"/>
          <w:sz w:val="20"/>
          <w:szCs w:val="20"/>
        </w:rPr>
        <w:t xml:space="preserve">of consumer harm that may result from a bank’s failure to </w:t>
      </w:r>
      <w:r w:rsidR="00922989" w:rsidRPr="4BAB97D0">
        <w:rPr>
          <w:rFonts w:ascii="Verdana" w:hAnsi="Verdana"/>
          <w:sz w:val="20"/>
          <w:szCs w:val="20"/>
        </w:rPr>
        <w:t>abid</w:t>
      </w:r>
      <w:r w:rsidR="000843B4">
        <w:rPr>
          <w:rFonts w:ascii="Verdana" w:hAnsi="Verdana"/>
          <w:sz w:val="20"/>
          <w:szCs w:val="20"/>
        </w:rPr>
        <w:t>e</w:t>
      </w:r>
      <w:r w:rsidR="00922989" w:rsidRPr="4BAB97D0">
        <w:rPr>
          <w:rFonts w:ascii="Verdana" w:hAnsi="Verdana"/>
          <w:sz w:val="20"/>
          <w:szCs w:val="20"/>
        </w:rPr>
        <w:t xml:space="preserve"> by the terms of </w:t>
      </w:r>
      <w:r w:rsidR="000843B4">
        <w:rPr>
          <w:rFonts w:ascii="Verdana" w:hAnsi="Verdana"/>
          <w:sz w:val="20"/>
          <w:szCs w:val="20"/>
        </w:rPr>
        <w:t xml:space="preserve">its licence or comply with other legislative requirements. </w:t>
      </w:r>
    </w:p>
    <w:p w14:paraId="1AE5CF98" w14:textId="77777777" w:rsidR="00922989" w:rsidRDefault="00922989" w:rsidP="0092298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942657" w14:textId="35D6E909" w:rsidR="004720ED" w:rsidRDefault="00582CF0" w:rsidP="0092298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therefore support the option to </w:t>
      </w:r>
      <w:r w:rsidR="00FF7743">
        <w:rPr>
          <w:rFonts w:ascii="Verdana" w:hAnsi="Verdana"/>
          <w:sz w:val="20"/>
          <w:szCs w:val="20"/>
        </w:rPr>
        <w:t xml:space="preserve">conduct </w:t>
      </w:r>
      <w:r>
        <w:rPr>
          <w:rFonts w:ascii="Verdana" w:hAnsi="Verdana"/>
          <w:sz w:val="20"/>
          <w:szCs w:val="20"/>
        </w:rPr>
        <w:t xml:space="preserve">regular </w:t>
      </w:r>
      <w:r w:rsidR="00FF7743">
        <w:rPr>
          <w:rFonts w:ascii="Verdana" w:hAnsi="Verdana"/>
          <w:sz w:val="20"/>
          <w:szCs w:val="20"/>
        </w:rPr>
        <w:t>on-site inspections</w:t>
      </w:r>
      <w:r>
        <w:rPr>
          <w:rFonts w:ascii="Verdana" w:hAnsi="Verdana"/>
          <w:sz w:val="20"/>
          <w:szCs w:val="20"/>
        </w:rPr>
        <w:t xml:space="preserve"> of individual banks</w:t>
      </w:r>
      <w:r w:rsidR="00FF7743">
        <w:rPr>
          <w:rFonts w:ascii="Verdana" w:hAnsi="Verdana"/>
          <w:sz w:val="20"/>
          <w:szCs w:val="20"/>
        </w:rPr>
        <w:t>.</w:t>
      </w:r>
      <w:r w:rsidR="00AC7BB2">
        <w:rPr>
          <w:rFonts w:ascii="Verdana" w:hAnsi="Verdana"/>
          <w:sz w:val="20"/>
          <w:szCs w:val="20"/>
        </w:rPr>
        <w:t xml:space="preserve"> We also consider the Reserve Bank should be able to conduct spot-inspections</w:t>
      </w:r>
      <w:r w:rsidR="002D4FC6">
        <w:rPr>
          <w:rFonts w:ascii="Verdana" w:hAnsi="Verdana"/>
          <w:sz w:val="20"/>
          <w:szCs w:val="20"/>
        </w:rPr>
        <w:t xml:space="preserve">, </w:t>
      </w:r>
      <w:r w:rsidR="00322152">
        <w:rPr>
          <w:rFonts w:ascii="Verdana" w:hAnsi="Verdana"/>
          <w:sz w:val="20"/>
          <w:szCs w:val="20"/>
        </w:rPr>
        <w:t xml:space="preserve">as and when </w:t>
      </w:r>
      <w:r w:rsidR="00922989">
        <w:rPr>
          <w:rFonts w:ascii="Verdana" w:hAnsi="Verdana"/>
          <w:sz w:val="20"/>
          <w:szCs w:val="20"/>
        </w:rPr>
        <w:t>needed</w:t>
      </w:r>
      <w:r w:rsidR="00AC7BB2">
        <w:rPr>
          <w:rFonts w:ascii="Verdana" w:hAnsi="Verdana"/>
          <w:sz w:val="20"/>
          <w:szCs w:val="20"/>
        </w:rPr>
        <w:t xml:space="preserve">.  </w:t>
      </w:r>
      <w:r w:rsidR="00FF7743">
        <w:rPr>
          <w:rFonts w:ascii="Verdana" w:hAnsi="Verdana"/>
          <w:sz w:val="20"/>
          <w:szCs w:val="20"/>
        </w:rPr>
        <w:t xml:space="preserve">  </w:t>
      </w:r>
    </w:p>
    <w:p w14:paraId="5CBD255A" w14:textId="21E8C085" w:rsidR="004720ED" w:rsidRDefault="004720ED" w:rsidP="0002603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92E7BDD" w14:textId="76A9DD8B" w:rsidR="004720ED" w:rsidRDefault="00FF7743" w:rsidP="0002603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Similarly, we support</w:t>
      </w:r>
      <w:r w:rsidR="004720ED">
        <w:rPr>
          <w:rFonts w:ascii="Verdana" w:hAnsi="Verdana"/>
          <w:sz w:val="20"/>
          <w:szCs w:val="20"/>
        </w:rPr>
        <w:t xml:space="preserve"> </w:t>
      </w:r>
      <w:r w:rsidR="00582CF0">
        <w:rPr>
          <w:rFonts w:ascii="Verdana" w:hAnsi="Verdana"/>
          <w:sz w:val="20"/>
          <w:szCs w:val="20"/>
        </w:rPr>
        <w:t>broadening the Reserve Bank’s suite of enforcement tools</w:t>
      </w:r>
      <w:r w:rsidR="004720ED">
        <w:rPr>
          <w:rFonts w:ascii="Verdana" w:hAnsi="Verdana"/>
          <w:sz w:val="20"/>
          <w:szCs w:val="20"/>
        </w:rPr>
        <w:t xml:space="preserve">. In particular, we support </w:t>
      </w:r>
      <w:r w:rsidR="00582CF0">
        <w:rPr>
          <w:rFonts w:ascii="Verdana" w:hAnsi="Verdana"/>
          <w:sz w:val="20"/>
          <w:szCs w:val="20"/>
        </w:rPr>
        <w:t xml:space="preserve">the Reserve Bank </w:t>
      </w:r>
      <w:r w:rsidR="00AC7BB2">
        <w:rPr>
          <w:rFonts w:ascii="Verdana" w:hAnsi="Verdana"/>
          <w:sz w:val="20"/>
          <w:szCs w:val="20"/>
        </w:rPr>
        <w:t>having</w:t>
      </w:r>
      <w:r w:rsidR="00582CF0">
        <w:rPr>
          <w:rFonts w:ascii="Verdana" w:hAnsi="Verdana"/>
          <w:sz w:val="20"/>
          <w:szCs w:val="20"/>
        </w:rPr>
        <w:t xml:space="preserve"> the power to issue</w:t>
      </w:r>
      <w:r w:rsidR="00322152">
        <w:rPr>
          <w:rFonts w:ascii="Verdana" w:hAnsi="Verdana"/>
          <w:sz w:val="20"/>
          <w:szCs w:val="20"/>
        </w:rPr>
        <w:t xml:space="preserve"> </w:t>
      </w:r>
      <w:r w:rsidR="00582CF0">
        <w:rPr>
          <w:rFonts w:ascii="Verdana" w:hAnsi="Verdana"/>
          <w:sz w:val="20"/>
          <w:szCs w:val="20"/>
        </w:rPr>
        <w:t xml:space="preserve">statutory public notices, enforceable undertakings, infringement notices and civil penalties. </w:t>
      </w:r>
    </w:p>
    <w:p w14:paraId="33956CE4" w14:textId="48FB3608" w:rsidR="00582CF0" w:rsidRDefault="00582CF0" w:rsidP="0002603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A32885" w14:textId="77777777" w:rsidR="0042627F" w:rsidRDefault="0042627F" w:rsidP="0040232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706" w14:textId="316123B2" w:rsidR="00CD19C2" w:rsidRPr="00905D1C" w:rsidRDefault="00CD19C2" w:rsidP="00402326">
      <w:pPr>
        <w:spacing w:after="0" w:line="240" w:lineRule="auto"/>
        <w:rPr>
          <w:rFonts w:ascii="Verdana" w:hAnsi="Verdana"/>
          <w:sz w:val="20"/>
          <w:szCs w:val="20"/>
        </w:rPr>
      </w:pPr>
      <w:r w:rsidRPr="00905D1C">
        <w:rPr>
          <w:rFonts w:ascii="Verdana" w:hAnsi="Verdana"/>
          <w:sz w:val="20"/>
          <w:szCs w:val="20"/>
        </w:rPr>
        <w:t>Thank you for the opportunity to make a</w:t>
      </w:r>
      <w:r w:rsidR="000C6B64">
        <w:rPr>
          <w:rFonts w:ascii="Verdana" w:hAnsi="Verdana"/>
          <w:sz w:val="20"/>
          <w:szCs w:val="20"/>
        </w:rPr>
        <w:t xml:space="preserve"> </w:t>
      </w:r>
      <w:r w:rsidRPr="00905D1C">
        <w:rPr>
          <w:rFonts w:ascii="Verdana" w:hAnsi="Verdana"/>
          <w:sz w:val="20"/>
          <w:szCs w:val="20"/>
        </w:rPr>
        <w:t>submission</w:t>
      </w:r>
      <w:r>
        <w:rPr>
          <w:rFonts w:ascii="Verdana" w:hAnsi="Verdana"/>
          <w:sz w:val="20"/>
          <w:szCs w:val="20"/>
        </w:rPr>
        <w:t xml:space="preserve">. </w:t>
      </w:r>
      <w:r w:rsidRPr="00905D1C">
        <w:rPr>
          <w:rFonts w:ascii="Verdana" w:hAnsi="Verdana"/>
          <w:sz w:val="20"/>
          <w:szCs w:val="20"/>
        </w:rPr>
        <w:t xml:space="preserve">If you require any further information, please do not hesitate to contact me. </w:t>
      </w:r>
    </w:p>
    <w:p w14:paraId="0641B707" w14:textId="61D412C5" w:rsidR="00CD19C2" w:rsidRDefault="00CD19C2" w:rsidP="0040232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708" w14:textId="77777777" w:rsidR="00CD19C2" w:rsidRDefault="00CD19C2" w:rsidP="00CD19C2">
      <w:pPr>
        <w:spacing w:after="0" w:line="240" w:lineRule="auto"/>
        <w:rPr>
          <w:rFonts w:ascii="Verdana" w:hAnsi="Verdana"/>
          <w:sz w:val="20"/>
          <w:szCs w:val="20"/>
        </w:rPr>
      </w:pPr>
      <w:r w:rsidRPr="00905D1C">
        <w:rPr>
          <w:rFonts w:ascii="Verdana" w:hAnsi="Verdana"/>
          <w:sz w:val="20"/>
          <w:szCs w:val="20"/>
        </w:rPr>
        <w:t>Yours sincerely</w:t>
      </w:r>
    </w:p>
    <w:p w14:paraId="4E697E33" w14:textId="615EA0BF" w:rsidR="00FE6565" w:rsidRDefault="00FE6565" w:rsidP="00CD19C2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0649A78A" w14:textId="3B43FC9C" w:rsidR="00DF13AF" w:rsidRDefault="00DF13AF" w:rsidP="00CD19C2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3A3ECF34" w14:textId="77777777" w:rsidR="00DF13AF" w:rsidRDefault="00DF13AF" w:rsidP="00CD19C2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36147754" w14:textId="77777777" w:rsidR="00FE6565" w:rsidRDefault="00FE6565" w:rsidP="00CD19C2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7B26CCEF" w14:textId="77777777" w:rsidR="000F5638" w:rsidRDefault="00DE5D2C" w:rsidP="00CD19C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Sue Chetwin</w:t>
      </w:r>
      <w:r w:rsidR="00FE7B36">
        <w:rPr>
          <w:rFonts w:ascii="Verdana" w:hAnsi="Verdana"/>
          <w:sz w:val="20"/>
          <w:szCs w:val="20"/>
        </w:rPr>
        <w:t xml:space="preserve"> </w:t>
      </w:r>
    </w:p>
    <w:p w14:paraId="7171B3DD" w14:textId="406A6609" w:rsidR="004571BD" w:rsidRDefault="005C3D42" w:rsidP="00CD19C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Chief e</w:t>
      </w:r>
      <w:r w:rsidR="00DE5D2C">
        <w:rPr>
          <w:rFonts w:ascii="Verdana" w:hAnsi="Verdana"/>
          <w:sz w:val="20"/>
          <w:szCs w:val="20"/>
        </w:rPr>
        <w:t>xecutive</w:t>
      </w:r>
      <w:r w:rsidR="00FE7B36">
        <w:rPr>
          <w:rFonts w:ascii="Verdana" w:hAnsi="Verdana"/>
          <w:sz w:val="20"/>
          <w:szCs w:val="20"/>
        </w:rPr>
        <w:t xml:space="preserve"> </w:t>
      </w:r>
    </w:p>
    <w:sectPr w:rsidR="004571BD" w:rsidSect="00FE65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8F39" w14:textId="77777777" w:rsidR="003E45B6" w:rsidRDefault="003E45B6" w:rsidP="007C71F6">
      <w:pPr>
        <w:spacing w:after="0" w:line="240" w:lineRule="auto"/>
      </w:pPr>
      <w:r>
        <w:separator/>
      </w:r>
    </w:p>
  </w:endnote>
  <w:endnote w:type="continuationSeparator" w:id="0">
    <w:p w14:paraId="0B7C89AD" w14:textId="77777777" w:rsidR="003E45B6" w:rsidRDefault="003E45B6" w:rsidP="007C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D31B" w14:textId="77777777" w:rsidR="00FC4AF4" w:rsidRDefault="00FC4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17073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770DF022" w14:textId="4BCADF60" w:rsidR="00FE6565" w:rsidRPr="00FE6565" w:rsidRDefault="00FE6565">
        <w:pPr>
          <w:pStyle w:val="Footer"/>
          <w:jc w:val="center"/>
          <w:rPr>
            <w:rFonts w:ascii="Verdana" w:hAnsi="Verdana"/>
            <w:sz w:val="16"/>
            <w:szCs w:val="16"/>
          </w:rPr>
        </w:pPr>
        <w:r w:rsidRPr="00FE6565">
          <w:rPr>
            <w:rFonts w:ascii="Verdana" w:hAnsi="Verdana"/>
            <w:sz w:val="16"/>
            <w:szCs w:val="16"/>
          </w:rPr>
          <w:fldChar w:fldCharType="begin"/>
        </w:r>
        <w:r w:rsidRPr="00FE6565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FE6565">
          <w:rPr>
            <w:rFonts w:ascii="Verdana" w:hAnsi="Verdana"/>
            <w:sz w:val="16"/>
            <w:szCs w:val="16"/>
          </w:rPr>
          <w:fldChar w:fldCharType="separate"/>
        </w:r>
        <w:r w:rsidR="00FC4AF4">
          <w:rPr>
            <w:rFonts w:ascii="Verdana" w:hAnsi="Verdana"/>
            <w:noProof/>
            <w:sz w:val="16"/>
            <w:szCs w:val="16"/>
          </w:rPr>
          <w:t>2</w:t>
        </w:r>
        <w:r w:rsidRPr="00FE6565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6DF00B76" w14:textId="77777777" w:rsidR="00FE6565" w:rsidRDefault="00FE6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A161" w14:textId="77777777" w:rsidR="00FC4AF4" w:rsidRDefault="00FC4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B94E" w14:textId="77777777" w:rsidR="003E45B6" w:rsidRDefault="003E45B6" w:rsidP="007C71F6">
      <w:pPr>
        <w:spacing w:after="0" w:line="240" w:lineRule="auto"/>
      </w:pPr>
      <w:r>
        <w:separator/>
      </w:r>
    </w:p>
  </w:footnote>
  <w:footnote w:type="continuationSeparator" w:id="0">
    <w:p w14:paraId="10B7D1CD" w14:textId="77777777" w:rsidR="003E45B6" w:rsidRDefault="003E45B6" w:rsidP="007C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3189" w14:textId="77777777" w:rsidR="00FC4AF4" w:rsidRDefault="00FC4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A846" w14:textId="77777777" w:rsidR="00FC4AF4" w:rsidRDefault="00FC4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2FEF" w14:textId="77777777" w:rsidR="00FC4AF4" w:rsidRDefault="00FC4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3B19"/>
    <w:multiLevelType w:val="hybridMultilevel"/>
    <w:tmpl w:val="D66C65FC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56853"/>
    <w:multiLevelType w:val="hybridMultilevel"/>
    <w:tmpl w:val="1BE800B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EC0"/>
    <w:multiLevelType w:val="hybridMultilevel"/>
    <w:tmpl w:val="6BAE75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DBB"/>
    <w:multiLevelType w:val="hybridMultilevel"/>
    <w:tmpl w:val="ABBA94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7"/>
    <w:rsid w:val="00000082"/>
    <w:rsid w:val="00006607"/>
    <w:rsid w:val="0000786D"/>
    <w:rsid w:val="000163C9"/>
    <w:rsid w:val="000212D1"/>
    <w:rsid w:val="00025A73"/>
    <w:rsid w:val="00026031"/>
    <w:rsid w:val="00034EBD"/>
    <w:rsid w:val="00034F19"/>
    <w:rsid w:val="00073F74"/>
    <w:rsid w:val="00074D67"/>
    <w:rsid w:val="00081882"/>
    <w:rsid w:val="000843B4"/>
    <w:rsid w:val="000A2B46"/>
    <w:rsid w:val="000C6B64"/>
    <w:rsid w:val="000E2237"/>
    <w:rsid w:val="000F145F"/>
    <w:rsid w:val="000F2E43"/>
    <w:rsid w:val="000F3AC5"/>
    <w:rsid w:val="000F5638"/>
    <w:rsid w:val="000F72A4"/>
    <w:rsid w:val="00106E24"/>
    <w:rsid w:val="00122E22"/>
    <w:rsid w:val="0012775B"/>
    <w:rsid w:val="001621E6"/>
    <w:rsid w:val="001659FF"/>
    <w:rsid w:val="001702B7"/>
    <w:rsid w:val="00175878"/>
    <w:rsid w:val="001800BB"/>
    <w:rsid w:val="001900CC"/>
    <w:rsid w:val="00190FDF"/>
    <w:rsid w:val="001A1D58"/>
    <w:rsid w:val="001A5B8A"/>
    <w:rsid w:val="001B729B"/>
    <w:rsid w:val="001C426B"/>
    <w:rsid w:val="001C6DD4"/>
    <w:rsid w:val="001D4470"/>
    <w:rsid w:val="001E4154"/>
    <w:rsid w:val="001E4396"/>
    <w:rsid w:val="001F01BE"/>
    <w:rsid w:val="001F0DFF"/>
    <w:rsid w:val="001F67D6"/>
    <w:rsid w:val="00202B9B"/>
    <w:rsid w:val="0022055D"/>
    <w:rsid w:val="00242117"/>
    <w:rsid w:val="00254034"/>
    <w:rsid w:val="0026281C"/>
    <w:rsid w:val="00265F49"/>
    <w:rsid w:val="00266ECA"/>
    <w:rsid w:val="0027102D"/>
    <w:rsid w:val="002737C3"/>
    <w:rsid w:val="00292551"/>
    <w:rsid w:val="002A2DA6"/>
    <w:rsid w:val="002A320D"/>
    <w:rsid w:val="002A3F58"/>
    <w:rsid w:val="002B512B"/>
    <w:rsid w:val="002B6E19"/>
    <w:rsid w:val="002D2C54"/>
    <w:rsid w:val="002D4FC6"/>
    <w:rsid w:val="002E1833"/>
    <w:rsid w:val="002E5ABB"/>
    <w:rsid w:val="002E7439"/>
    <w:rsid w:val="002F2DFE"/>
    <w:rsid w:val="00302CDF"/>
    <w:rsid w:val="003041F9"/>
    <w:rsid w:val="00322152"/>
    <w:rsid w:val="0032685D"/>
    <w:rsid w:val="003313E6"/>
    <w:rsid w:val="00337F9F"/>
    <w:rsid w:val="00382AFA"/>
    <w:rsid w:val="00382DDC"/>
    <w:rsid w:val="003853B1"/>
    <w:rsid w:val="00394B5F"/>
    <w:rsid w:val="003A72FB"/>
    <w:rsid w:val="003B700C"/>
    <w:rsid w:val="003C3531"/>
    <w:rsid w:val="003C46F5"/>
    <w:rsid w:val="003E45B6"/>
    <w:rsid w:val="003F22E1"/>
    <w:rsid w:val="00402326"/>
    <w:rsid w:val="00404DE4"/>
    <w:rsid w:val="00414A2C"/>
    <w:rsid w:val="00417662"/>
    <w:rsid w:val="004230AE"/>
    <w:rsid w:val="0042627F"/>
    <w:rsid w:val="0043543B"/>
    <w:rsid w:val="00437FB8"/>
    <w:rsid w:val="004568E3"/>
    <w:rsid w:val="004571BD"/>
    <w:rsid w:val="004677B2"/>
    <w:rsid w:val="004720ED"/>
    <w:rsid w:val="004803F5"/>
    <w:rsid w:val="004811D3"/>
    <w:rsid w:val="00481DD1"/>
    <w:rsid w:val="0048385E"/>
    <w:rsid w:val="004876FA"/>
    <w:rsid w:val="004A4D70"/>
    <w:rsid w:val="004B33DC"/>
    <w:rsid w:val="004C1BD4"/>
    <w:rsid w:val="004C5E1B"/>
    <w:rsid w:val="004C6CA1"/>
    <w:rsid w:val="00512392"/>
    <w:rsid w:val="00521C7E"/>
    <w:rsid w:val="005400BC"/>
    <w:rsid w:val="005417CB"/>
    <w:rsid w:val="005433FA"/>
    <w:rsid w:val="005734E0"/>
    <w:rsid w:val="005805A7"/>
    <w:rsid w:val="00580803"/>
    <w:rsid w:val="00581F6B"/>
    <w:rsid w:val="00582CF0"/>
    <w:rsid w:val="00585903"/>
    <w:rsid w:val="005927D0"/>
    <w:rsid w:val="00595BB7"/>
    <w:rsid w:val="005B06CB"/>
    <w:rsid w:val="005C3D42"/>
    <w:rsid w:val="005D6650"/>
    <w:rsid w:val="005E1263"/>
    <w:rsid w:val="005E3886"/>
    <w:rsid w:val="005E4374"/>
    <w:rsid w:val="006065FC"/>
    <w:rsid w:val="00653A4C"/>
    <w:rsid w:val="00655191"/>
    <w:rsid w:val="00660162"/>
    <w:rsid w:val="006643F2"/>
    <w:rsid w:val="00667E96"/>
    <w:rsid w:val="0068135C"/>
    <w:rsid w:val="00687A54"/>
    <w:rsid w:val="006922C1"/>
    <w:rsid w:val="006A25C0"/>
    <w:rsid w:val="006A5D79"/>
    <w:rsid w:val="006B19C1"/>
    <w:rsid w:val="006E1CF6"/>
    <w:rsid w:val="006F030D"/>
    <w:rsid w:val="006F3475"/>
    <w:rsid w:val="0070385B"/>
    <w:rsid w:val="00710932"/>
    <w:rsid w:val="00715A46"/>
    <w:rsid w:val="00723F77"/>
    <w:rsid w:val="00725AA8"/>
    <w:rsid w:val="00733F0F"/>
    <w:rsid w:val="00743FF9"/>
    <w:rsid w:val="007641E5"/>
    <w:rsid w:val="00766193"/>
    <w:rsid w:val="0078674E"/>
    <w:rsid w:val="007956CA"/>
    <w:rsid w:val="007A1545"/>
    <w:rsid w:val="007A5D53"/>
    <w:rsid w:val="007B0293"/>
    <w:rsid w:val="007B0EF8"/>
    <w:rsid w:val="007B746A"/>
    <w:rsid w:val="007C0680"/>
    <w:rsid w:val="007C1350"/>
    <w:rsid w:val="007C71F6"/>
    <w:rsid w:val="007D3DED"/>
    <w:rsid w:val="007E5429"/>
    <w:rsid w:val="007F4CED"/>
    <w:rsid w:val="00822964"/>
    <w:rsid w:val="00832495"/>
    <w:rsid w:val="008435F0"/>
    <w:rsid w:val="00850C58"/>
    <w:rsid w:val="00855E2D"/>
    <w:rsid w:val="0086609D"/>
    <w:rsid w:val="00876168"/>
    <w:rsid w:val="00877901"/>
    <w:rsid w:val="008817E0"/>
    <w:rsid w:val="008A1A58"/>
    <w:rsid w:val="008A3F66"/>
    <w:rsid w:val="008A432D"/>
    <w:rsid w:val="008D112E"/>
    <w:rsid w:val="008D2023"/>
    <w:rsid w:val="008D3C53"/>
    <w:rsid w:val="008E3A5B"/>
    <w:rsid w:val="008E724D"/>
    <w:rsid w:val="009018AC"/>
    <w:rsid w:val="00903FB2"/>
    <w:rsid w:val="00922989"/>
    <w:rsid w:val="009426E2"/>
    <w:rsid w:val="009672B2"/>
    <w:rsid w:val="00967561"/>
    <w:rsid w:val="009736AD"/>
    <w:rsid w:val="00997E6F"/>
    <w:rsid w:val="009B35EB"/>
    <w:rsid w:val="009B4888"/>
    <w:rsid w:val="009C2C8E"/>
    <w:rsid w:val="009C3F68"/>
    <w:rsid w:val="009F0FE3"/>
    <w:rsid w:val="00A016D5"/>
    <w:rsid w:val="00A2355E"/>
    <w:rsid w:val="00A31AA4"/>
    <w:rsid w:val="00A438B8"/>
    <w:rsid w:val="00A551F1"/>
    <w:rsid w:val="00A70068"/>
    <w:rsid w:val="00A73D22"/>
    <w:rsid w:val="00A77788"/>
    <w:rsid w:val="00A82B2E"/>
    <w:rsid w:val="00AA0B4F"/>
    <w:rsid w:val="00AA5612"/>
    <w:rsid w:val="00AC1C03"/>
    <w:rsid w:val="00AC639D"/>
    <w:rsid w:val="00AC7BB2"/>
    <w:rsid w:val="00AE1F43"/>
    <w:rsid w:val="00AF47BC"/>
    <w:rsid w:val="00B00B39"/>
    <w:rsid w:val="00B07262"/>
    <w:rsid w:val="00B15A73"/>
    <w:rsid w:val="00B15F7C"/>
    <w:rsid w:val="00B16E9C"/>
    <w:rsid w:val="00B20524"/>
    <w:rsid w:val="00B33258"/>
    <w:rsid w:val="00B50CD2"/>
    <w:rsid w:val="00B5102E"/>
    <w:rsid w:val="00B517E3"/>
    <w:rsid w:val="00B600B6"/>
    <w:rsid w:val="00B7130C"/>
    <w:rsid w:val="00B73257"/>
    <w:rsid w:val="00B75179"/>
    <w:rsid w:val="00B807C3"/>
    <w:rsid w:val="00B922D6"/>
    <w:rsid w:val="00B93FA4"/>
    <w:rsid w:val="00B96633"/>
    <w:rsid w:val="00BA26D5"/>
    <w:rsid w:val="00BA47F6"/>
    <w:rsid w:val="00BA679C"/>
    <w:rsid w:val="00BB5763"/>
    <w:rsid w:val="00BB6DB4"/>
    <w:rsid w:val="00BC27E9"/>
    <w:rsid w:val="00BD544E"/>
    <w:rsid w:val="00BE09C2"/>
    <w:rsid w:val="00C07DAC"/>
    <w:rsid w:val="00C1781D"/>
    <w:rsid w:val="00C23B4C"/>
    <w:rsid w:val="00C33EE3"/>
    <w:rsid w:val="00C43DB3"/>
    <w:rsid w:val="00C467D0"/>
    <w:rsid w:val="00C6536D"/>
    <w:rsid w:val="00C7145E"/>
    <w:rsid w:val="00C81459"/>
    <w:rsid w:val="00C9579E"/>
    <w:rsid w:val="00CB00A1"/>
    <w:rsid w:val="00CB6543"/>
    <w:rsid w:val="00CC554B"/>
    <w:rsid w:val="00CD19C2"/>
    <w:rsid w:val="00CD3A65"/>
    <w:rsid w:val="00CD6FEC"/>
    <w:rsid w:val="00CE3753"/>
    <w:rsid w:val="00CF02DC"/>
    <w:rsid w:val="00CF063B"/>
    <w:rsid w:val="00D0515A"/>
    <w:rsid w:val="00D26920"/>
    <w:rsid w:val="00D35E8D"/>
    <w:rsid w:val="00D40EFB"/>
    <w:rsid w:val="00D43876"/>
    <w:rsid w:val="00D52784"/>
    <w:rsid w:val="00D56AF8"/>
    <w:rsid w:val="00D80973"/>
    <w:rsid w:val="00D8416F"/>
    <w:rsid w:val="00D860F8"/>
    <w:rsid w:val="00D96F56"/>
    <w:rsid w:val="00DA4E6D"/>
    <w:rsid w:val="00DB640D"/>
    <w:rsid w:val="00DD23D8"/>
    <w:rsid w:val="00DD362C"/>
    <w:rsid w:val="00DD5C61"/>
    <w:rsid w:val="00DE5D2C"/>
    <w:rsid w:val="00DF13AF"/>
    <w:rsid w:val="00E0577B"/>
    <w:rsid w:val="00E1181D"/>
    <w:rsid w:val="00E20404"/>
    <w:rsid w:val="00E37360"/>
    <w:rsid w:val="00E37ABD"/>
    <w:rsid w:val="00E44661"/>
    <w:rsid w:val="00E60BBD"/>
    <w:rsid w:val="00E649E0"/>
    <w:rsid w:val="00E6719D"/>
    <w:rsid w:val="00E7149D"/>
    <w:rsid w:val="00E7242A"/>
    <w:rsid w:val="00E7278A"/>
    <w:rsid w:val="00EA660C"/>
    <w:rsid w:val="00EB0148"/>
    <w:rsid w:val="00EB1C4C"/>
    <w:rsid w:val="00ED11A5"/>
    <w:rsid w:val="00EF0F3A"/>
    <w:rsid w:val="00EF1C86"/>
    <w:rsid w:val="00EF5604"/>
    <w:rsid w:val="00F15443"/>
    <w:rsid w:val="00F3530D"/>
    <w:rsid w:val="00F3674B"/>
    <w:rsid w:val="00F4151F"/>
    <w:rsid w:val="00F41746"/>
    <w:rsid w:val="00F60FB3"/>
    <w:rsid w:val="00F61CA3"/>
    <w:rsid w:val="00F66062"/>
    <w:rsid w:val="00F66ED8"/>
    <w:rsid w:val="00F825A2"/>
    <w:rsid w:val="00F8461F"/>
    <w:rsid w:val="00F91374"/>
    <w:rsid w:val="00F92664"/>
    <w:rsid w:val="00FA3013"/>
    <w:rsid w:val="00FA5326"/>
    <w:rsid w:val="00FC4633"/>
    <w:rsid w:val="00FC4AF4"/>
    <w:rsid w:val="00FC5BBF"/>
    <w:rsid w:val="00FD5AE2"/>
    <w:rsid w:val="00FE0FDD"/>
    <w:rsid w:val="00FE6565"/>
    <w:rsid w:val="00FE7B36"/>
    <w:rsid w:val="00FF7743"/>
    <w:rsid w:val="4BAB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41B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8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1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149D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F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73F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5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6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5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eleise@consumer.org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DAAF-9B73-4659-8858-C56B50D0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2019-08-16T05:10:00Z</dcterms:created>
  <dcterms:modified xsi:type="dcterms:W3CDTF">2019-08-16T05:11:00Z</dcterms:modified>
</cp:coreProperties>
</file>