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B6D9" w14:textId="564B9F01" w:rsidR="00242117" w:rsidRDefault="004A4D70" w:rsidP="007F72A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en-NZ"/>
        </w:rPr>
        <w:drawing>
          <wp:inline distT="0" distB="0" distL="0" distR="0" wp14:anchorId="0641B710" wp14:editId="6713B82A">
            <wp:extent cx="2084705" cy="504825"/>
            <wp:effectExtent l="0" t="0" r="0" b="952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B6DA" w14:textId="77777777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8192B" w14:textId="77777777" w:rsidR="009C3F68" w:rsidRDefault="009C3F68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9A65B84" w14:textId="77777777" w:rsidR="009C3F68" w:rsidRDefault="009C3F68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F20835" w14:textId="77777777" w:rsidR="006F3475" w:rsidRDefault="006F3475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DB" w14:textId="51DFBA9B" w:rsidR="00242117" w:rsidRDefault="007F72AA" w:rsidP="007F72A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323D71">
        <w:rPr>
          <w:rFonts w:ascii="Verdana" w:hAnsi="Verdana"/>
          <w:sz w:val="20"/>
          <w:szCs w:val="20"/>
        </w:rPr>
        <w:t xml:space="preserve"> September</w:t>
      </w:r>
      <w:r w:rsidR="00997E6F">
        <w:rPr>
          <w:rFonts w:ascii="Verdana" w:hAnsi="Verdana"/>
          <w:sz w:val="20"/>
          <w:szCs w:val="20"/>
        </w:rPr>
        <w:t xml:space="preserve"> 2018</w:t>
      </w:r>
    </w:p>
    <w:p w14:paraId="0641B6DC" w14:textId="77777777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CE182D" w14:textId="3B6A6FD4" w:rsidR="00733F0F" w:rsidRDefault="00323D71" w:rsidP="007F72A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Ministry for the Environment</w:t>
      </w:r>
    </w:p>
    <w:p w14:paraId="7D50E75C" w14:textId="5B637D80" w:rsidR="00323D71" w:rsidRDefault="00323D71" w:rsidP="007F72A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 Box 10362</w:t>
      </w:r>
    </w:p>
    <w:p w14:paraId="1F93BE5D" w14:textId="5D16F0AA" w:rsidR="00FD6BD4" w:rsidRDefault="00FD6BD4" w:rsidP="007F72A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Wellington</w:t>
      </w:r>
      <w:r w:rsidR="00323D71">
        <w:rPr>
          <w:rFonts w:ascii="Verdana" w:hAnsi="Verdana"/>
          <w:color w:val="000000"/>
          <w:sz w:val="20"/>
          <w:szCs w:val="20"/>
        </w:rPr>
        <w:t xml:space="preserve"> 6143</w:t>
      </w:r>
    </w:p>
    <w:p w14:paraId="321C2D16" w14:textId="33A5FD51" w:rsidR="006B4AEC" w:rsidRDefault="006B4AEC" w:rsidP="007F72A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New Zealand</w:t>
      </w:r>
    </w:p>
    <w:p w14:paraId="0641B6E0" w14:textId="77777777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1" w14:textId="14544375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 email: </w:t>
      </w:r>
      <w:hyperlink r:id="rId12" w:history="1">
        <w:r w:rsidR="00323D71" w:rsidRPr="0043578F">
          <w:rPr>
            <w:rStyle w:val="Hyperlink"/>
            <w:rFonts w:ascii="Verdana" w:hAnsi="Verdana"/>
            <w:sz w:val="20"/>
            <w:szCs w:val="20"/>
          </w:rPr>
          <w:t>plasticshoppingbags.submissions@mfe.govt.nz</w:t>
        </w:r>
      </w:hyperlink>
    </w:p>
    <w:p w14:paraId="0641B6E2" w14:textId="0726E3A6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3" w14:textId="77777777" w:rsidR="00242117" w:rsidRDefault="00242117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1434EA" w14:textId="77777777" w:rsidR="00733F0F" w:rsidRPr="00DB32E3" w:rsidRDefault="00733F0F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92698F" w14:textId="77777777" w:rsidR="002E1A55" w:rsidRDefault="00242117" w:rsidP="007F72A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32E3">
        <w:rPr>
          <w:rFonts w:ascii="Verdana" w:hAnsi="Verdana"/>
          <w:b/>
          <w:sz w:val="20"/>
          <w:szCs w:val="20"/>
        </w:rPr>
        <w:t xml:space="preserve">SUBMISSION on </w:t>
      </w:r>
      <w:r w:rsidR="00323D71">
        <w:rPr>
          <w:rFonts w:ascii="Verdana" w:hAnsi="Verdana"/>
          <w:b/>
          <w:sz w:val="20"/>
          <w:szCs w:val="20"/>
        </w:rPr>
        <w:t xml:space="preserve">Proposed Mandatory Phase Out of </w:t>
      </w:r>
    </w:p>
    <w:p w14:paraId="0641B6E4" w14:textId="59C7D710" w:rsidR="00242117" w:rsidRDefault="00323D71" w:rsidP="007F72A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Singl</w:t>
      </w:r>
      <w:r w:rsidR="002E1A55">
        <w:rPr>
          <w:rFonts w:ascii="Verdana" w:hAnsi="Verdana"/>
          <w:b/>
          <w:sz w:val="20"/>
          <w:szCs w:val="20"/>
        </w:rPr>
        <w:t>e-use Plastic Shopping Bags</w:t>
      </w:r>
    </w:p>
    <w:p w14:paraId="0641B6E8" w14:textId="0E7550AD" w:rsidR="00242117" w:rsidRPr="00FD6BD4" w:rsidRDefault="00242117" w:rsidP="007F72A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85FE904" w14:textId="77777777" w:rsidR="00733F0F" w:rsidRDefault="00733F0F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8B3269" w14:textId="12A31AD1" w:rsidR="00EA1766" w:rsidRDefault="005B06CB" w:rsidP="007F72AA">
      <w:pPr>
        <w:pStyle w:val="ListParagraph"/>
        <w:numPr>
          <w:ilvl w:val="0"/>
          <w:numId w:val="16"/>
        </w:numPr>
        <w:spacing w:after="0" w:line="240" w:lineRule="auto"/>
        <w:ind w:left="720" w:hanging="720"/>
        <w:rPr>
          <w:rFonts w:ascii="Verdana" w:hAnsi="Verdana"/>
          <w:b/>
          <w:sz w:val="20"/>
          <w:szCs w:val="20"/>
        </w:rPr>
      </w:pPr>
      <w:r w:rsidRPr="00EA1766">
        <w:rPr>
          <w:rFonts w:ascii="Verdana" w:hAnsi="Verdana"/>
          <w:b/>
          <w:sz w:val="20"/>
          <w:szCs w:val="20"/>
        </w:rPr>
        <w:t>Introduction</w:t>
      </w:r>
    </w:p>
    <w:p w14:paraId="16487E00" w14:textId="77777777" w:rsidR="003C5072" w:rsidRDefault="003C5072" w:rsidP="007F72AA">
      <w:pPr>
        <w:pStyle w:val="ListParagraph"/>
        <w:spacing w:after="0" w:line="240" w:lineRule="auto"/>
        <w:ind w:left="567" w:firstLine="0"/>
        <w:rPr>
          <w:rFonts w:ascii="Verdana" w:hAnsi="Verdana"/>
          <w:b/>
          <w:sz w:val="20"/>
          <w:szCs w:val="20"/>
        </w:rPr>
      </w:pPr>
    </w:p>
    <w:p w14:paraId="54D15AE8" w14:textId="073B3C88" w:rsidR="000C6B64" w:rsidRPr="003C5072" w:rsidRDefault="000C6B64" w:rsidP="007F72AA">
      <w:pPr>
        <w:pStyle w:val="ListParagraph"/>
        <w:numPr>
          <w:ilvl w:val="1"/>
          <w:numId w:val="16"/>
        </w:numPr>
        <w:spacing w:after="0" w:line="240" w:lineRule="auto"/>
        <w:ind w:left="720" w:hanging="720"/>
        <w:rPr>
          <w:rFonts w:ascii="Verdana" w:hAnsi="Verdana"/>
          <w:b/>
          <w:sz w:val="20"/>
          <w:szCs w:val="20"/>
        </w:rPr>
      </w:pPr>
      <w:r w:rsidRPr="003C5072">
        <w:rPr>
          <w:rFonts w:ascii="Verdana" w:hAnsi="Verdana"/>
          <w:sz w:val="20"/>
          <w:szCs w:val="20"/>
        </w:rPr>
        <w:t xml:space="preserve">Thank you for the opportunity to make a submission on the </w:t>
      </w:r>
      <w:r w:rsidR="001C5E88">
        <w:rPr>
          <w:rFonts w:ascii="Verdana" w:hAnsi="Verdana"/>
          <w:sz w:val="20"/>
          <w:szCs w:val="20"/>
        </w:rPr>
        <w:t>proposed mandatory phase out of single-use plastic shopping bags</w:t>
      </w:r>
      <w:r w:rsidRPr="003C5072">
        <w:rPr>
          <w:rFonts w:ascii="Verdana" w:hAnsi="Verdana"/>
          <w:sz w:val="20"/>
          <w:szCs w:val="20"/>
        </w:rPr>
        <w:t>. This submission is from Consumer NZ, New Zealand’s leading consumer organisation. It has an acknowledged and respected reputation for independence and fairness as a provider of impartial and comprehensive consumer information and advice.</w:t>
      </w:r>
    </w:p>
    <w:p w14:paraId="6951B8A5" w14:textId="77777777" w:rsidR="007F72AA" w:rsidRDefault="007F72AA" w:rsidP="007F72AA">
      <w:pPr>
        <w:spacing w:after="0" w:line="240" w:lineRule="auto"/>
        <w:ind w:firstLine="0"/>
        <w:rPr>
          <w:rFonts w:ascii="Verdana" w:hAnsi="Verdana"/>
          <w:sz w:val="20"/>
          <w:szCs w:val="20"/>
        </w:rPr>
      </w:pPr>
    </w:p>
    <w:p w14:paraId="0641B6EE" w14:textId="0CD52DFB" w:rsidR="005B06CB" w:rsidRPr="00FC5CBA" w:rsidRDefault="000C6B64" w:rsidP="007F72AA">
      <w:pPr>
        <w:spacing w:after="0" w:line="240" w:lineRule="auto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</w:r>
      <w:r w:rsidR="002E1A55">
        <w:rPr>
          <w:rFonts w:ascii="Verdana" w:hAnsi="Verdana"/>
          <w:sz w:val="20"/>
          <w:szCs w:val="20"/>
        </w:rPr>
        <w:t>Aneleise Gawn</w:t>
      </w:r>
    </w:p>
    <w:p w14:paraId="0641B6EF" w14:textId="77777777" w:rsidR="005B06CB" w:rsidRPr="00FC5CBA" w:rsidRDefault="005B06CB" w:rsidP="007F72AA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Consumer NZ</w:t>
      </w:r>
    </w:p>
    <w:p w14:paraId="0641B6F0" w14:textId="153EDDB1" w:rsidR="005B06CB" w:rsidRPr="00FC5CBA" w:rsidRDefault="005B06CB" w:rsidP="007F72AA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>Private Bag 6996</w:t>
      </w:r>
    </w:p>
    <w:p w14:paraId="0641B6F1" w14:textId="3D5361F6" w:rsidR="005B06CB" w:rsidRPr="00FC5CBA" w:rsidRDefault="005B06CB" w:rsidP="007F72AA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>Wellington 6141</w:t>
      </w:r>
    </w:p>
    <w:p w14:paraId="0641B6F2" w14:textId="4B882F80" w:rsidR="005B06CB" w:rsidRPr="00FC5CBA" w:rsidRDefault="005B06CB" w:rsidP="007F72AA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 xml:space="preserve">Phone: 04 </w:t>
      </w:r>
      <w:r>
        <w:rPr>
          <w:rFonts w:ascii="Verdana" w:hAnsi="Verdana"/>
          <w:sz w:val="20"/>
          <w:szCs w:val="20"/>
        </w:rPr>
        <w:t xml:space="preserve">384 7963 </w:t>
      </w:r>
    </w:p>
    <w:p w14:paraId="0641B6F3" w14:textId="684DBB07" w:rsidR="005B06CB" w:rsidRDefault="005B06CB" w:rsidP="007F72AA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Email: </w:t>
      </w:r>
      <w:hyperlink r:id="rId13" w:history="1">
        <w:r w:rsidR="002E1A55" w:rsidRPr="0043578F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14:paraId="5F51AF2A" w14:textId="18264284" w:rsidR="006B4AEC" w:rsidRDefault="006B4AEC" w:rsidP="007F72AA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13204F7" w14:textId="04803B6D" w:rsidR="000C6B64" w:rsidRDefault="00482439" w:rsidP="007F72AA">
      <w:pPr>
        <w:pStyle w:val="ListParagraph"/>
        <w:numPr>
          <w:ilvl w:val="0"/>
          <w:numId w:val="16"/>
        </w:numPr>
        <w:spacing w:after="0" w:line="240" w:lineRule="auto"/>
        <w:ind w:left="720" w:hanging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General comments</w:t>
      </w:r>
    </w:p>
    <w:p w14:paraId="40BE1091" w14:textId="77777777" w:rsidR="00EA1766" w:rsidRDefault="00EA1766" w:rsidP="007F72AA">
      <w:pPr>
        <w:pStyle w:val="ListParagraph"/>
        <w:spacing w:after="0" w:line="240" w:lineRule="auto"/>
        <w:ind w:left="567" w:firstLine="0"/>
        <w:rPr>
          <w:rFonts w:ascii="Verdana" w:hAnsi="Verdana"/>
          <w:b/>
          <w:sz w:val="20"/>
          <w:szCs w:val="20"/>
        </w:rPr>
      </w:pPr>
    </w:p>
    <w:p w14:paraId="3CF6BE5D" w14:textId="1F4644BE" w:rsidR="00482439" w:rsidRPr="007F72AA" w:rsidRDefault="007F72AA" w:rsidP="007F72AA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t>2.1</w:t>
      </w:r>
      <w:r>
        <w:tab/>
      </w:r>
      <w:r w:rsidR="00482439" w:rsidRPr="007F72AA">
        <w:rPr>
          <w:rFonts w:ascii="Verdana" w:hAnsi="Verdana"/>
          <w:sz w:val="20"/>
          <w:szCs w:val="20"/>
        </w:rPr>
        <w:t xml:space="preserve">We </w:t>
      </w:r>
      <w:r w:rsidRPr="007F72AA">
        <w:rPr>
          <w:rFonts w:ascii="Verdana" w:hAnsi="Verdana"/>
          <w:sz w:val="20"/>
          <w:szCs w:val="20"/>
        </w:rPr>
        <w:t xml:space="preserve">support the </w:t>
      </w:r>
      <w:r w:rsidR="00482439" w:rsidRPr="007F72AA">
        <w:rPr>
          <w:rFonts w:ascii="Verdana" w:hAnsi="Verdana"/>
          <w:sz w:val="20"/>
          <w:szCs w:val="20"/>
        </w:rPr>
        <w:t xml:space="preserve">introduction of </w:t>
      </w:r>
      <w:r w:rsidRPr="007F72AA">
        <w:rPr>
          <w:rFonts w:ascii="Verdana" w:hAnsi="Verdana"/>
          <w:sz w:val="20"/>
          <w:szCs w:val="20"/>
        </w:rPr>
        <w:t>a ban on</w:t>
      </w:r>
      <w:r w:rsidR="00482439" w:rsidRPr="007F72AA">
        <w:rPr>
          <w:rFonts w:ascii="Verdana" w:hAnsi="Verdana"/>
          <w:sz w:val="20"/>
          <w:szCs w:val="20"/>
        </w:rPr>
        <w:t xml:space="preserve"> </w:t>
      </w:r>
      <w:r w:rsidRPr="007F72AA">
        <w:rPr>
          <w:rFonts w:ascii="Verdana" w:hAnsi="Verdana"/>
          <w:sz w:val="20"/>
          <w:szCs w:val="20"/>
        </w:rPr>
        <w:t>single-u</w:t>
      </w:r>
      <w:r w:rsidR="00482439" w:rsidRPr="007F72AA">
        <w:rPr>
          <w:rFonts w:ascii="Verdana" w:hAnsi="Verdana"/>
          <w:sz w:val="20"/>
          <w:szCs w:val="20"/>
        </w:rPr>
        <w:t>se plastic</w:t>
      </w:r>
      <w:r w:rsidRPr="007F72AA">
        <w:rPr>
          <w:rFonts w:ascii="Verdana" w:hAnsi="Verdana"/>
          <w:sz w:val="20"/>
          <w:szCs w:val="20"/>
        </w:rPr>
        <w:t xml:space="preserve"> bags. </w:t>
      </w:r>
      <w:r w:rsidR="00482439" w:rsidRPr="007F72AA">
        <w:rPr>
          <w:rFonts w:ascii="Verdana" w:hAnsi="Verdana"/>
          <w:sz w:val="20"/>
          <w:szCs w:val="20"/>
        </w:rPr>
        <w:t xml:space="preserve">Our answers </w:t>
      </w:r>
      <w:r w:rsidR="00AB0A5D">
        <w:rPr>
          <w:rFonts w:ascii="Verdana" w:hAnsi="Verdana"/>
          <w:sz w:val="20"/>
          <w:szCs w:val="20"/>
        </w:rPr>
        <w:t xml:space="preserve">to </w:t>
      </w:r>
      <w:r w:rsidR="00482439" w:rsidRPr="007F72AA">
        <w:rPr>
          <w:rFonts w:ascii="Verdana" w:hAnsi="Verdana"/>
          <w:sz w:val="20"/>
          <w:szCs w:val="20"/>
        </w:rPr>
        <w:t xml:space="preserve">questions </w:t>
      </w:r>
      <w:r w:rsidR="00AB0A5D">
        <w:rPr>
          <w:rFonts w:ascii="Verdana" w:hAnsi="Verdana"/>
          <w:sz w:val="20"/>
          <w:szCs w:val="20"/>
        </w:rPr>
        <w:t>one</w:t>
      </w:r>
      <w:r w:rsidR="00A9575D">
        <w:rPr>
          <w:rFonts w:ascii="Verdana" w:hAnsi="Verdana"/>
          <w:sz w:val="20"/>
          <w:szCs w:val="20"/>
        </w:rPr>
        <w:t xml:space="preserve"> to 10 </w:t>
      </w:r>
      <w:r w:rsidR="00482439" w:rsidRPr="007F72AA">
        <w:rPr>
          <w:rFonts w:ascii="Verdana" w:hAnsi="Verdana"/>
          <w:sz w:val="20"/>
          <w:szCs w:val="20"/>
        </w:rPr>
        <w:t>in the consultation paper are set out below in the template provided by the ministry.</w:t>
      </w:r>
    </w:p>
    <w:p w14:paraId="40C330B0" w14:textId="77777777" w:rsidR="007F72AA" w:rsidRDefault="007F72AA" w:rsidP="007F72AA">
      <w:pPr>
        <w:spacing w:after="0" w:line="240" w:lineRule="auto"/>
        <w:ind w:left="0" w:firstLine="0"/>
        <w:rPr>
          <w:rFonts w:ascii="Verdana" w:hAnsi="Verdana"/>
          <w:sz w:val="20"/>
          <w:szCs w:val="20"/>
        </w:rPr>
      </w:pPr>
    </w:p>
    <w:p w14:paraId="16DF90D7" w14:textId="20A6F9A0" w:rsidR="00C6721D" w:rsidRPr="00C6721D" w:rsidRDefault="00C6721D" w:rsidP="007F72AA">
      <w:pPr>
        <w:spacing w:after="0" w:line="240" w:lineRule="auto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the opportunity to make a submission. If you require any further information, please do not hesitate to contact me. </w:t>
      </w:r>
    </w:p>
    <w:p w14:paraId="278FEFF3" w14:textId="7E8B8FE7" w:rsidR="00FD6BD4" w:rsidRDefault="00FD6BD4" w:rsidP="007F72A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708" w14:textId="4FB93D22" w:rsidR="00CD19C2" w:rsidRDefault="00CD19C2" w:rsidP="007F72AA">
      <w:pPr>
        <w:spacing w:after="0" w:line="240" w:lineRule="auto"/>
        <w:rPr>
          <w:rFonts w:ascii="Verdana" w:hAnsi="Verdana"/>
          <w:sz w:val="20"/>
          <w:szCs w:val="20"/>
        </w:rPr>
      </w:pPr>
      <w:r w:rsidRPr="00905D1C">
        <w:rPr>
          <w:rFonts w:ascii="Verdana" w:hAnsi="Verdana"/>
          <w:sz w:val="20"/>
          <w:szCs w:val="20"/>
        </w:rPr>
        <w:t>Yours sincerely</w:t>
      </w:r>
    </w:p>
    <w:p w14:paraId="0641B709" w14:textId="77777777" w:rsidR="00CD19C2" w:rsidRDefault="00CD19C2" w:rsidP="007F72A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799CE5D9" w14:textId="67536C61" w:rsidR="00355BFC" w:rsidRDefault="00ED3B23" w:rsidP="007F72A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  <w:r>
        <w:rPr>
          <w:rFonts w:ascii="Verdana" w:hAnsi="Verdana"/>
          <w:noProof/>
          <w:sz w:val="20"/>
          <w:szCs w:val="20"/>
          <w:lang w:eastAsia="en-NZ"/>
        </w:rPr>
        <w:drawing>
          <wp:inline distT="0" distB="0" distL="0" distR="0" wp14:anchorId="2C8E5636" wp14:editId="6B8E2D95">
            <wp:extent cx="1638891" cy="619125"/>
            <wp:effectExtent l="0" t="0" r="0" b="0"/>
            <wp:docPr id="2" name="Picture 2" descr="P:\Marketing\Signatures and logo files\Sue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Signatures and logo files\Sue high r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56" cy="61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B70D" w14:textId="77777777" w:rsidR="00106E24" w:rsidRDefault="00106E24" w:rsidP="007F72A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5E3D43BB" w14:textId="77777777" w:rsidR="005D6650" w:rsidRDefault="005D6650" w:rsidP="007F72A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Sue Chetwin</w:t>
      </w:r>
    </w:p>
    <w:p w14:paraId="0641B70F" w14:textId="16687CA4" w:rsidR="00CD19C2" w:rsidRDefault="005D6650" w:rsidP="007F72A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Chief Executive</w:t>
      </w:r>
      <w:r w:rsidR="00CD19C2" w:rsidRPr="00905D1C">
        <w:rPr>
          <w:rFonts w:ascii="Verdana" w:hAnsi="Verdana"/>
          <w:sz w:val="20"/>
          <w:szCs w:val="20"/>
        </w:rPr>
        <w:t xml:space="preserve"> </w:t>
      </w:r>
    </w:p>
    <w:p w14:paraId="2686284B" w14:textId="2BCBBB1F" w:rsidR="00482439" w:rsidRDefault="00482439" w:rsidP="007F72AA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br w:type="page"/>
      </w:r>
    </w:p>
    <w:p w14:paraId="106ED85B" w14:textId="77777777" w:rsidR="00B0656B" w:rsidRPr="00120295" w:rsidRDefault="00B0656B" w:rsidP="009C0AD7">
      <w:pPr>
        <w:pStyle w:val="Heading2"/>
        <w:keepNext w:val="0"/>
        <w:widowControl w:val="0"/>
        <w:spacing w:before="0"/>
      </w:pPr>
      <w:bookmarkStart w:id="0" w:name="_Toc521579280"/>
      <w:r w:rsidRPr="00120295">
        <w:lastRenderedPageBreak/>
        <w:t>Consultation questions</w:t>
      </w:r>
      <w:bookmarkStart w:id="1" w:name="_GoBack"/>
      <w:bookmarkEnd w:id="0"/>
      <w:bookmarkEnd w:id="1"/>
    </w:p>
    <w:tbl>
      <w:tblPr>
        <w:tblStyle w:val="TableGrid"/>
        <w:tblW w:w="8505" w:type="dxa"/>
        <w:tblBorders>
          <w:top w:val="single" w:sz="4" w:space="0" w:color="D2DDE2"/>
          <w:left w:val="single" w:sz="4" w:space="0" w:color="D2DDE2"/>
          <w:bottom w:val="single" w:sz="4" w:space="0" w:color="D2DDE2"/>
          <w:right w:val="single" w:sz="4" w:space="0" w:color="D2DDE2"/>
          <w:insideH w:val="none" w:sz="0" w:space="0" w:color="auto"/>
          <w:insideV w:val="none" w:sz="0" w:space="0" w:color="auto"/>
        </w:tblBorders>
        <w:shd w:val="clear" w:color="auto" w:fill="D2DDE2"/>
        <w:tblLook w:val="04A0" w:firstRow="1" w:lastRow="0" w:firstColumn="1" w:lastColumn="0" w:noHBand="0" w:noVBand="1"/>
      </w:tblPr>
      <w:tblGrid>
        <w:gridCol w:w="8505"/>
      </w:tblGrid>
      <w:tr w:rsidR="00B0656B" w:rsidRPr="00120295" w14:paraId="01AB9280" w14:textId="77777777" w:rsidTr="00E80CC6">
        <w:tc>
          <w:tcPr>
            <w:tcW w:w="0" w:type="auto"/>
            <w:shd w:val="clear" w:color="auto" w:fill="D2DDE2"/>
          </w:tcPr>
          <w:p w14:paraId="076EC758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1</w:t>
            </w:r>
          </w:p>
          <w:p w14:paraId="3FE23BDB" w14:textId="04C70371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Do you agree with the proposed mandat</w:t>
            </w:r>
            <w:r>
              <w:t>ory phase out of the</w:t>
            </w:r>
            <w:r w:rsidRPr="00120295">
              <w:t xml:space="preserve"> sale</w:t>
            </w:r>
            <w:r>
              <w:t xml:space="preserve"> or </w:t>
            </w:r>
            <w:r w:rsidRPr="00120295">
              <w:t>distribution of single-use plastic shopping bags in New Zealand</w:t>
            </w:r>
            <w:r>
              <w:t>, including those made of degradable (eg, oxo-degradable, biodegradable and compostable) plastic</w:t>
            </w:r>
            <w:r w:rsidRPr="00120295">
              <w:t>?</w:t>
            </w:r>
          </w:p>
          <w:p w14:paraId="61DBB7A7" w14:textId="77777777" w:rsidR="007F72AA" w:rsidRPr="00120295" w:rsidRDefault="007F72AA" w:rsidP="009C0AD7">
            <w:pPr>
              <w:pStyle w:val="Blueboxtext"/>
              <w:widowControl w:val="0"/>
              <w:spacing w:before="0" w:after="0" w:line="240" w:lineRule="auto"/>
            </w:pPr>
          </w:p>
          <w:p w14:paraId="1C275F05" w14:textId="50ABC554" w:rsidR="00AB0A5D" w:rsidRDefault="00AB0A5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Yes, we support </w:t>
            </w:r>
            <w:r w:rsidRPr="00AB0A5D">
              <w:rPr>
                <w:color w:val="000000" w:themeColor="text1"/>
              </w:rPr>
              <w:t>the proposed mandatory phase</w:t>
            </w:r>
            <w:r>
              <w:rPr>
                <w:color w:val="000000" w:themeColor="text1"/>
              </w:rPr>
              <w:t>-</w:t>
            </w:r>
            <w:r w:rsidRPr="00AB0A5D">
              <w:rPr>
                <w:color w:val="000000" w:themeColor="text1"/>
              </w:rPr>
              <w:t>out of the sale or distribution of single-use plastic shopping bags</w:t>
            </w:r>
            <w:r>
              <w:rPr>
                <w:color w:val="auto"/>
              </w:rPr>
              <w:t>.</w:t>
            </w:r>
          </w:p>
          <w:p w14:paraId="7AF9CE56" w14:textId="77777777" w:rsidR="00AB0A5D" w:rsidRDefault="00AB0A5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273A03F8" w14:textId="71E65985" w:rsidR="00B9344D" w:rsidRDefault="00B0656B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 w:rsidRPr="00E9116F">
              <w:rPr>
                <w:color w:val="auto"/>
              </w:rPr>
              <w:t xml:space="preserve">Our latest consumer issues survey </w:t>
            </w:r>
            <w:r w:rsidR="00AB0A5D">
              <w:rPr>
                <w:color w:val="auto"/>
              </w:rPr>
              <w:t xml:space="preserve">shows </w:t>
            </w:r>
            <w:r w:rsidR="007F72AA">
              <w:rPr>
                <w:color w:val="auto"/>
              </w:rPr>
              <w:t xml:space="preserve">a majority of </w:t>
            </w:r>
            <w:r w:rsidR="00B9344D">
              <w:rPr>
                <w:color w:val="auto"/>
              </w:rPr>
              <w:t xml:space="preserve">shoppers </w:t>
            </w:r>
            <w:r w:rsidR="007F72AA">
              <w:rPr>
                <w:color w:val="auto"/>
              </w:rPr>
              <w:t>support a ban on single-use plastic bags</w:t>
            </w:r>
            <w:r w:rsidR="00AB0A5D">
              <w:rPr>
                <w:color w:val="auto"/>
              </w:rPr>
              <w:t>:</w:t>
            </w:r>
            <w:r w:rsidRPr="00E9116F">
              <w:rPr>
                <w:color w:val="auto"/>
              </w:rPr>
              <w:t xml:space="preserve"> </w:t>
            </w:r>
          </w:p>
          <w:p w14:paraId="42A5E1A2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4A8B8872" w14:textId="25DD360F" w:rsidR="00B0656B" w:rsidRPr="00E9116F" w:rsidRDefault="00B0656B" w:rsidP="009C0AD7">
            <w:pPr>
              <w:pStyle w:val="Blueboxtext"/>
              <w:widowControl w:val="0"/>
              <w:numPr>
                <w:ilvl w:val="0"/>
                <w:numId w:val="17"/>
              </w:numPr>
              <w:spacing w:before="0" w:after="0" w:line="240" w:lineRule="auto"/>
              <w:ind w:left="644"/>
              <w:rPr>
                <w:color w:val="auto"/>
              </w:rPr>
            </w:pPr>
            <w:r w:rsidRPr="00E9116F">
              <w:rPr>
                <w:color w:val="auto"/>
              </w:rPr>
              <w:t xml:space="preserve">Seventy-one percent said they were happy to use re-usable bags if plastic ones </w:t>
            </w:r>
            <w:r w:rsidR="00A9575D">
              <w:rPr>
                <w:color w:val="auto"/>
              </w:rPr>
              <w:t xml:space="preserve">weren’t </w:t>
            </w:r>
            <w:r w:rsidR="00853F3F">
              <w:rPr>
                <w:color w:val="auto"/>
              </w:rPr>
              <w:t>available</w:t>
            </w:r>
            <w:r w:rsidRPr="00E9116F">
              <w:rPr>
                <w:color w:val="auto"/>
              </w:rPr>
              <w:t xml:space="preserve"> at the check-out. Only 15</w:t>
            </w:r>
            <w:r w:rsidR="00B9344D">
              <w:rPr>
                <w:color w:val="auto"/>
              </w:rPr>
              <w:t xml:space="preserve"> percent </w:t>
            </w:r>
            <w:r w:rsidRPr="00E9116F">
              <w:rPr>
                <w:color w:val="auto"/>
              </w:rPr>
              <w:t xml:space="preserve">thought plastic bags should continue to be free. </w:t>
            </w:r>
          </w:p>
          <w:p w14:paraId="76FF38CF" w14:textId="51ECAF0E" w:rsidR="00B0656B" w:rsidRDefault="00B9344D" w:rsidP="009C0AD7">
            <w:pPr>
              <w:pStyle w:val="Blueboxtext"/>
              <w:widowControl w:val="0"/>
              <w:numPr>
                <w:ilvl w:val="0"/>
                <w:numId w:val="17"/>
              </w:numPr>
              <w:spacing w:before="0" w:after="0" w:line="240" w:lineRule="auto"/>
              <w:ind w:left="644"/>
              <w:rPr>
                <w:color w:val="auto"/>
              </w:rPr>
            </w:pPr>
            <w:r>
              <w:rPr>
                <w:color w:val="auto"/>
              </w:rPr>
              <w:t xml:space="preserve">Eight out of </w:t>
            </w:r>
            <w:r w:rsidR="005E1FB2">
              <w:rPr>
                <w:color w:val="auto"/>
              </w:rPr>
              <w:t>10</w:t>
            </w:r>
            <w:r>
              <w:rPr>
                <w:color w:val="auto"/>
              </w:rPr>
              <w:t xml:space="preserve"> consumers were already using reusable bags: 44 percent were using reusable shopping bags all the time with 39 percent using them some of the time. </w:t>
            </w:r>
          </w:p>
          <w:p w14:paraId="63070EB0" w14:textId="3D2F2B67" w:rsidR="007F72AA" w:rsidRDefault="007F72AA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55A0E961" w14:textId="10B81F16" w:rsidR="007F72AA" w:rsidRDefault="00A9575D" w:rsidP="009C0AD7">
            <w:pPr>
              <w:pStyle w:val="Blueboxtext"/>
              <w:widowControl w:val="0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These results are from </w:t>
            </w:r>
            <w:r w:rsidRPr="00A9575D">
              <w:rPr>
                <w:color w:val="000000" w:themeColor="text1"/>
              </w:rPr>
              <w:t>a nationally representative survey of 1022 New Zealanders aged 18 years</w:t>
            </w:r>
            <w:r w:rsidR="008F73D4">
              <w:rPr>
                <w:color w:val="000000" w:themeColor="text1"/>
              </w:rPr>
              <w:t xml:space="preserve"> and over,</w:t>
            </w:r>
            <w:r w:rsidRPr="00A9575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and </w:t>
            </w:r>
            <w:r w:rsidRPr="00A9575D">
              <w:rPr>
                <w:color w:val="000000" w:themeColor="text1"/>
              </w:rPr>
              <w:t>carried out online in December 2017.</w:t>
            </w:r>
          </w:p>
          <w:p w14:paraId="474F3B52" w14:textId="5A01F94C" w:rsidR="00A9575D" w:rsidRDefault="00A9575D" w:rsidP="009C0AD7">
            <w:pPr>
              <w:pStyle w:val="Blueboxtext"/>
              <w:widowControl w:val="0"/>
              <w:spacing w:before="0" w:after="0" w:line="240" w:lineRule="auto"/>
              <w:rPr>
                <w:color w:val="000000" w:themeColor="text1"/>
              </w:rPr>
            </w:pPr>
          </w:p>
          <w:p w14:paraId="18C5CBED" w14:textId="77777777" w:rsidR="00A9575D" w:rsidRPr="00A9575D" w:rsidRDefault="00A9575D" w:rsidP="009C0AD7">
            <w:pPr>
              <w:pStyle w:val="Blueboxtext"/>
              <w:widowControl w:val="0"/>
              <w:spacing w:before="0" w:after="0" w:line="240" w:lineRule="auto"/>
              <w:rPr>
                <w:color w:val="000000" w:themeColor="text1"/>
              </w:rPr>
            </w:pPr>
          </w:p>
          <w:p w14:paraId="3833481F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2</w:t>
            </w:r>
          </w:p>
          <w:p w14:paraId="3EDC54AB" w14:textId="20D6871F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We have proposed a mandatory phase out of single-use plastic shopping bags. This could include under 50 microns or under 70 microns</w:t>
            </w:r>
            <w:r>
              <w:t xml:space="preserve"> in thickness</w:t>
            </w:r>
            <w:r w:rsidRPr="00120295">
              <w:t>.</w:t>
            </w:r>
            <w:r w:rsidR="00B9344D">
              <w:t xml:space="preserve"> </w:t>
            </w:r>
            <w:r w:rsidRPr="00120295">
              <w:t>If you agree with a mandatory phase out, which option do you prefer, and why?</w:t>
            </w:r>
          </w:p>
          <w:p w14:paraId="348BF782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4161879A" w14:textId="46A662B3" w:rsidR="00E91599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We support a ban on</w:t>
            </w:r>
            <w:r w:rsidR="00E91599">
              <w:rPr>
                <w:color w:val="auto"/>
              </w:rPr>
              <w:t xml:space="preserve"> single-use plastic bags under 70 microns</w:t>
            </w:r>
            <w:r w:rsidR="00EE431C">
              <w:rPr>
                <w:color w:val="auto"/>
              </w:rPr>
              <w:t xml:space="preserve"> in thickness</w:t>
            </w:r>
            <w:r w:rsidR="00E91599">
              <w:rPr>
                <w:color w:val="auto"/>
              </w:rPr>
              <w:t xml:space="preserve">. In our view, including bags between 50 and 70 microns would </w:t>
            </w:r>
            <w:r w:rsidR="00EE431C">
              <w:rPr>
                <w:color w:val="auto"/>
              </w:rPr>
              <w:t xml:space="preserve">increase the </w:t>
            </w:r>
            <w:r>
              <w:rPr>
                <w:color w:val="auto"/>
              </w:rPr>
              <w:t>ban’s effectiveness</w:t>
            </w:r>
            <w:r w:rsidR="00EE431C">
              <w:rPr>
                <w:color w:val="auto"/>
              </w:rPr>
              <w:t>.</w:t>
            </w:r>
            <w:r w:rsidR="00E91599">
              <w:rPr>
                <w:color w:val="auto"/>
              </w:rPr>
              <w:t xml:space="preserve"> </w:t>
            </w:r>
          </w:p>
          <w:p w14:paraId="00147A7D" w14:textId="3D3977CB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60B589E0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3C9EEE58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  <w:rPr>
                <w:b/>
              </w:rPr>
            </w:pPr>
            <w:r w:rsidRPr="00120295">
              <w:rPr>
                <w:b/>
              </w:rPr>
              <w:t>Question 3</w:t>
            </w:r>
          </w:p>
          <w:p w14:paraId="382A8A00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Are you aware of types of single-use plastic shopping bags that should be exempt from a mandatory phase out? </w:t>
            </w:r>
          </w:p>
          <w:p w14:paraId="4A8F53A3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4B67FA88" w14:textId="74A52746" w:rsidR="00B0656B" w:rsidRDefault="004518D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No. In our view, t</w:t>
            </w:r>
            <w:r w:rsidR="009033C3">
              <w:rPr>
                <w:color w:val="auto"/>
              </w:rPr>
              <w:t xml:space="preserve">here are </w:t>
            </w:r>
            <w:r w:rsidR="00853F3F">
              <w:rPr>
                <w:color w:val="auto"/>
              </w:rPr>
              <w:t xml:space="preserve">practical </w:t>
            </w:r>
            <w:r w:rsidR="009033C3">
              <w:rPr>
                <w:color w:val="auto"/>
              </w:rPr>
              <w:t>alternatives to single-use bags</w:t>
            </w:r>
            <w:r w:rsidR="00B9344D">
              <w:rPr>
                <w:color w:val="auto"/>
              </w:rPr>
              <w:t xml:space="preserve"> and a high proportion of consumers are already </w:t>
            </w:r>
            <w:r w:rsidR="008F73D4">
              <w:rPr>
                <w:color w:val="auto"/>
              </w:rPr>
              <w:t>choosing them</w:t>
            </w:r>
            <w:r w:rsidR="00B9344D">
              <w:rPr>
                <w:color w:val="auto"/>
              </w:rPr>
              <w:t xml:space="preserve">.  </w:t>
            </w:r>
          </w:p>
          <w:p w14:paraId="54C28615" w14:textId="77777777" w:rsidR="00B9344D" w:rsidRPr="00120295" w:rsidRDefault="00B9344D" w:rsidP="009C0AD7">
            <w:pPr>
              <w:pStyle w:val="Blueboxtext"/>
              <w:widowControl w:val="0"/>
              <w:spacing w:before="0" w:after="0" w:line="240" w:lineRule="auto"/>
            </w:pPr>
          </w:p>
          <w:p w14:paraId="6F030E37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4</w:t>
            </w:r>
          </w:p>
          <w:p w14:paraId="634559E0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Do you currently manufacture, sell, provide or import for sale or personal use these types of single-use plastic shopping bags: </w:t>
            </w:r>
          </w:p>
          <w:p w14:paraId="7695D6FD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a.</w:t>
            </w:r>
            <w:r w:rsidRPr="00120295">
              <w:tab/>
              <w:t>50 microns or less in thicknes</w:t>
            </w:r>
            <w:r>
              <w:t>s</w:t>
            </w:r>
            <w:r w:rsidRPr="00120295">
              <w:t xml:space="preserve"> </w:t>
            </w:r>
          </w:p>
          <w:p w14:paraId="6D65A856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b. </w:t>
            </w:r>
            <w:r w:rsidRPr="00120295">
              <w:tab/>
              <w:t xml:space="preserve">more than 50 microns and less than 70 microns in thickness? </w:t>
            </w:r>
          </w:p>
          <w:p w14:paraId="113EF223" w14:textId="6E0C58F4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If yes, please specify which bags and explain how a phase out would be likely to impact on you. </w:t>
            </w:r>
          </w:p>
          <w:p w14:paraId="31C4BE42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6ABD8937" w14:textId="7F6A72D8" w:rsidR="000C100A" w:rsidRPr="00120295" w:rsidRDefault="000C100A" w:rsidP="009C0AD7">
            <w:pPr>
              <w:pStyle w:val="Blueboxtext"/>
              <w:widowControl w:val="0"/>
              <w:spacing w:before="0" w:after="0" w:line="240" w:lineRule="auto"/>
            </w:pPr>
            <w:r>
              <w:rPr>
                <w:color w:val="auto"/>
              </w:rPr>
              <w:t>No.</w:t>
            </w:r>
          </w:p>
          <w:p w14:paraId="682E0B92" w14:textId="77777777" w:rsidR="00B9344D" w:rsidRDefault="00B9344D" w:rsidP="009C0AD7">
            <w:pPr>
              <w:pStyle w:val="Blueboxheading"/>
              <w:keepNext w:val="0"/>
              <w:widowControl w:val="0"/>
              <w:spacing w:before="0" w:line="240" w:lineRule="auto"/>
            </w:pPr>
          </w:p>
          <w:p w14:paraId="36DBD081" w14:textId="3549B83F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5</w:t>
            </w:r>
          </w:p>
          <w:p w14:paraId="29DAA9A6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Should smaller retailers be exempted from a mandatory phase out o</w:t>
            </w:r>
            <w:r>
              <w:t>f</w:t>
            </w:r>
            <w:r w:rsidRPr="00120295">
              <w:t xml:space="preserve"> single-use plastic shopping bags?</w:t>
            </w:r>
          </w:p>
          <w:p w14:paraId="07219CB0" w14:textId="77777777" w:rsidR="00B9344D" w:rsidRDefault="00B9344D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7260F0EC" w14:textId="374A0C71" w:rsidR="00B0656B" w:rsidRDefault="00527E43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No. In our view, </w:t>
            </w:r>
            <w:r w:rsidR="007D5403">
              <w:rPr>
                <w:color w:val="auto"/>
              </w:rPr>
              <w:t xml:space="preserve">smaller retailers </w:t>
            </w:r>
            <w:r w:rsidR="00BC482F">
              <w:rPr>
                <w:color w:val="auto"/>
              </w:rPr>
              <w:t xml:space="preserve">should not be exempt </w:t>
            </w:r>
            <w:r w:rsidR="007D5403">
              <w:rPr>
                <w:color w:val="auto"/>
              </w:rPr>
              <w:t>from a mandatory phase out of single-use plastic shopping bags.</w:t>
            </w:r>
            <w:r w:rsidR="00BC482F">
              <w:rPr>
                <w:color w:val="auto"/>
              </w:rPr>
              <w:t xml:space="preserve"> </w:t>
            </w:r>
            <w:r w:rsidR="00137F59">
              <w:rPr>
                <w:color w:val="auto"/>
              </w:rPr>
              <w:t xml:space="preserve">Given the proposed </w:t>
            </w:r>
            <w:r w:rsidR="00BC482F">
              <w:rPr>
                <w:color w:val="auto"/>
              </w:rPr>
              <w:t>phase-out period</w:t>
            </w:r>
            <w:r w:rsidR="00137F59">
              <w:rPr>
                <w:color w:val="auto"/>
              </w:rPr>
              <w:t xml:space="preserve">, </w:t>
            </w:r>
            <w:r w:rsidR="00BC482F">
              <w:rPr>
                <w:color w:val="auto"/>
              </w:rPr>
              <w:t xml:space="preserve">all retailers </w:t>
            </w:r>
            <w:r w:rsidR="006C3548">
              <w:rPr>
                <w:color w:val="auto"/>
              </w:rPr>
              <w:t xml:space="preserve">should </w:t>
            </w:r>
            <w:r w:rsidR="00BC482F">
              <w:rPr>
                <w:color w:val="auto"/>
              </w:rPr>
              <w:t xml:space="preserve">have </w:t>
            </w:r>
            <w:r w:rsidR="00137F59">
              <w:rPr>
                <w:color w:val="auto"/>
              </w:rPr>
              <w:t xml:space="preserve">sufficient time </w:t>
            </w:r>
            <w:r w:rsidR="00BC482F">
              <w:rPr>
                <w:color w:val="auto"/>
              </w:rPr>
              <w:t>to source suitable alternatives</w:t>
            </w:r>
            <w:r w:rsidR="00137F59">
              <w:rPr>
                <w:color w:val="auto"/>
              </w:rPr>
              <w:t xml:space="preserve"> or advise their customers they will no longer be providing single-use bags.</w:t>
            </w:r>
            <w:r w:rsidR="00853F3F">
              <w:rPr>
                <w:color w:val="auto"/>
              </w:rPr>
              <w:t xml:space="preserve"> </w:t>
            </w:r>
          </w:p>
          <w:p w14:paraId="2ABE9459" w14:textId="77777777" w:rsidR="00137F59" w:rsidRPr="00120295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0C078C24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6</w:t>
            </w:r>
          </w:p>
          <w:p w14:paraId="1898050A" w14:textId="5916BBB4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If smaller retailers are exempted from a mandatory phase out </w:t>
            </w:r>
            <w:r>
              <w:t xml:space="preserve">of </w:t>
            </w:r>
            <w:r w:rsidRPr="00120295">
              <w:t>single-use plastic shopping bags and they are defined by their number of full-time equivalent employees, what should that number be?</w:t>
            </w:r>
          </w:p>
          <w:p w14:paraId="582BC021" w14:textId="77777777" w:rsid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1760726E" w14:textId="52D4AD20" w:rsidR="00C24B5C" w:rsidRDefault="006A2301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As stated above, we do not support an exemption for small retailer</w:t>
            </w:r>
            <w:r w:rsidR="00C24B5C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</w:p>
          <w:p w14:paraId="6ADF36C4" w14:textId="5B0701CE" w:rsidR="00137F59" w:rsidRDefault="00137F59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36DD2795" w14:textId="77777777" w:rsidR="00137F59" w:rsidRDefault="00137F59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1B0620CF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7</w:t>
            </w:r>
          </w:p>
          <w:p w14:paraId="55256650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The proposed mandatory phase-out period </w:t>
            </w:r>
            <w:r>
              <w:t xml:space="preserve">for </w:t>
            </w:r>
            <w:r w:rsidRPr="00120295">
              <w:t xml:space="preserve">single-use plastic shopping bags is </w:t>
            </w:r>
            <w:r>
              <w:t xml:space="preserve">at least six </w:t>
            </w:r>
            <w:r w:rsidRPr="00120295">
              <w:t xml:space="preserve">months from when regulations are </w:t>
            </w:r>
            <w:r>
              <w:t>Gazetted</w:t>
            </w:r>
            <w:r w:rsidRPr="00120295">
              <w:t>, subject to consultation. Do you agree with this timing?</w:t>
            </w:r>
          </w:p>
          <w:p w14:paraId="380723E2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If no, what do you think would be a more appropriate phase-out period?</w:t>
            </w:r>
          </w:p>
          <w:p w14:paraId="04F86C19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a. </w:t>
            </w:r>
            <w:r w:rsidRPr="00120295">
              <w:tab/>
              <w:t>two months</w:t>
            </w:r>
          </w:p>
          <w:p w14:paraId="4957AA23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b. </w:t>
            </w:r>
            <w:r w:rsidRPr="00120295">
              <w:tab/>
            </w:r>
            <w:r>
              <w:t>nine</w:t>
            </w:r>
            <w:r w:rsidRPr="00120295">
              <w:t xml:space="preserve"> months</w:t>
            </w:r>
          </w:p>
          <w:p w14:paraId="4326DD40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c. </w:t>
            </w:r>
            <w:r w:rsidRPr="00120295">
              <w:tab/>
              <w:t>one year</w:t>
            </w:r>
          </w:p>
          <w:p w14:paraId="4502C69A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d. </w:t>
            </w:r>
            <w:r w:rsidRPr="00120295">
              <w:tab/>
              <w:t>other (please specify)</w:t>
            </w:r>
          </w:p>
          <w:p w14:paraId="343EE7E8" w14:textId="77777777" w:rsidR="00137F59" w:rsidRDefault="00137F59" w:rsidP="009C0AD7">
            <w:pPr>
              <w:pStyle w:val="Blueboxheading"/>
              <w:keepNext w:val="0"/>
              <w:widowControl w:val="0"/>
              <w:spacing w:before="0" w:line="240" w:lineRule="auto"/>
              <w:rPr>
                <w:b w:val="0"/>
                <w:color w:val="auto"/>
              </w:rPr>
            </w:pPr>
          </w:p>
          <w:p w14:paraId="496AD094" w14:textId="1D3B6347" w:rsidR="00137F59" w:rsidRDefault="00137F59" w:rsidP="009C0AD7">
            <w:pPr>
              <w:pStyle w:val="Blueboxheading"/>
              <w:keepNext w:val="0"/>
              <w:widowControl w:val="0"/>
              <w:spacing w:before="0" w:line="240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</w:t>
            </w:r>
            <w:r w:rsidR="00525452">
              <w:rPr>
                <w:b w:val="0"/>
                <w:color w:val="auto"/>
              </w:rPr>
              <w:t xml:space="preserve">e </w:t>
            </w:r>
            <w:r>
              <w:rPr>
                <w:b w:val="0"/>
                <w:color w:val="auto"/>
              </w:rPr>
              <w:t xml:space="preserve">consider </w:t>
            </w:r>
            <w:r w:rsidR="00525452">
              <w:rPr>
                <w:b w:val="0"/>
                <w:color w:val="auto"/>
              </w:rPr>
              <w:t xml:space="preserve">a phase-out period of six to 12 months would be </w:t>
            </w:r>
            <w:r>
              <w:rPr>
                <w:b w:val="0"/>
                <w:color w:val="auto"/>
              </w:rPr>
              <w:t xml:space="preserve">appropriate and provide sufficient time for retailers to plan for the change. </w:t>
            </w:r>
          </w:p>
          <w:p w14:paraId="0A5C5790" w14:textId="77777777" w:rsidR="00137F59" w:rsidRP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43D150C3" w14:textId="766F97B9" w:rsidR="00137F59" w:rsidRP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1689E06F" w14:textId="7C28EF21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8</w:t>
            </w:r>
          </w:p>
          <w:p w14:paraId="4273B7AC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Do you agree that the benefits expected from implementing a mandatory phase out </w:t>
            </w:r>
            <w:r>
              <w:t xml:space="preserve">of </w:t>
            </w:r>
            <w:r w:rsidRPr="00120295">
              <w:t xml:space="preserve">single-use plastic shopping bags exceed the costs expected from implementing </w:t>
            </w:r>
            <w:r>
              <w:t>the phase out</w:t>
            </w:r>
            <w:r w:rsidRPr="00120295">
              <w:t>?</w:t>
            </w:r>
          </w:p>
          <w:p w14:paraId="4EE2C5D3" w14:textId="47D8BE49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Please consider both monetary and non-monetary costs and benefits (those that can be measured by money as well as those that can’t).</w:t>
            </w:r>
          </w:p>
          <w:p w14:paraId="6108C2B8" w14:textId="77777777" w:rsid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15348374" w14:textId="2ECC1FF2" w:rsidR="00361A97" w:rsidRDefault="005413A8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 w:rsidRPr="005413A8">
              <w:rPr>
                <w:color w:val="auto"/>
              </w:rPr>
              <w:t>Yes,</w:t>
            </w:r>
            <w:r>
              <w:rPr>
                <w:color w:val="auto"/>
              </w:rPr>
              <w:t xml:space="preserve"> we agree the benefits </w:t>
            </w:r>
            <w:r w:rsidR="0081780D">
              <w:rPr>
                <w:color w:val="auto"/>
              </w:rPr>
              <w:t xml:space="preserve">are likely to exceed the costs of phasing out single-use plastic shopping bags. In our view, the benefits are likely to be greater if the ban includes bags up to 70 microns and applies to all retailers. </w:t>
            </w:r>
          </w:p>
          <w:p w14:paraId="481C4EBC" w14:textId="77777777" w:rsidR="008F73D4" w:rsidRDefault="008F73D4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57F76401" w14:textId="746FB7A8" w:rsidR="005413A8" w:rsidRDefault="00361A97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81780D">
              <w:rPr>
                <w:color w:val="auto"/>
              </w:rPr>
              <w:t>ountries that have implemented narrow bans (for example, only on large re</w:t>
            </w:r>
            <w:r w:rsidR="00D920B2">
              <w:rPr>
                <w:color w:val="auto"/>
              </w:rPr>
              <w:t xml:space="preserve">tailers, or only </w:t>
            </w:r>
            <w:r w:rsidR="00137F59">
              <w:rPr>
                <w:color w:val="auto"/>
              </w:rPr>
              <w:t xml:space="preserve">for </w:t>
            </w:r>
            <w:r w:rsidR="00D920B2">
              <w:rPr>
                <w:color w:val="auto"/>
              </w:rPr>
              <w:t xml:space="preserve">lighter bags) have not achieved the waste minimisation outcomes they desired </w:t>
            </w:r>
            <w:r w:rsidR="00137F59">
              <w:rPr>
                <w:color w:val="auto"/>
              </w:rPr>
              <w:t xml:space="preserve">and </w:t>
            </w:r>
            <w:r>
              <w:rPr>
                <w:color w:val="auto"/>
              </w:rPr>
              <w:t xml:space="preserve">some </w:t>
            </w:r>
            <w:r w:rsidR="00137F59">
              <w:rPr>
                <w:color w:val="auto"/>
              </w:rPr>
              <w:t xml:space="preserve">are </w:t>
            </w:r>
            <w:r w:rsidR="00D920B2">
              <w:rPr>
                <w:color w:val="auto"/>
              </w:rPr>
              <w:t xml:space="preserve">now reviewing or amending the scope of their bans. </w:t>
            </w:r>
            <w:r w:rsidR="0081780D">
              <w:rPr>
                <w:color w:val="auto"/>
              </w:rPr>
              <w:t xml:space="preserve">  </w:t>
            </w:r>
          </w:p>
          <w:p w14:paraId="2326CD75" w14:textId="5ACE88BB" w:rsidR="00137F59" w:rsidRDefault="00137F59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</w:p>
          <w:p w14:paraId="4060637F" w14:textId="77777777" w:rsidR="00137F59" w:rsidRPr="005413A8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6CCBFE06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9</w:t>
            </w:r>
          </w:p>
          <w:p w14:paraId="68DD2C3B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Do you think that reasonably practicable alternatives to single-use plastic shopping bags exist in New Zealand?</w:t>
            </w:r>
          </w:p>
          <w:p w14:paraId="419F7300" w14:textId="7CE5932D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If no, what do you think is missing currently that would need to be available?</w:t>
            </w:r>
          </w:p>
          <w:p w14:paraId="0E4C1BF6" w14:textId="77777777" w:rsid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6022088A" w14:textId="10405C02" w:rsidR="00D920B2" w:rsidRDefault="008F73D4" w:rsidP="009C0AD7">
            <w:pPr>
              <w:pStyle w:val="Blueboxtext"/>
              <w:widowControl w:val="0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D920B2">
              <w:rPr>
                <w:color w:val="auto"/>
              </w:rPr>
              <w:t xml:space="preserve">s stated above, we think there are reasonably practicable alternatives to single-use plastic shopping bags. </w:t>
            </w:r>
            <w:r w:rsidR="00137F59">
              <w:rPr>
                <w:color w:val="auto"/>
              </w:rPr>
              <w:t xml:space="preserve">The high proportion of consumers who are already choosing alternatives </w:t>
            </w:r>
            <w:r>
              <w:rPr>
                <w:color w:val="auto"/>
              </w:rPr>
              <w:t xml:space="preserve">indicates </w:t>
            </w:r>
            <w:r w:rsidR="00137F59">
              <w:rPr>
                <w:color w:val="auto"/>
              </w:rPr>
              <w:t>shoppers are easily able to find options to suit.</w:t>
            </w:r>
          </w:p>
          <w:p w14:paraId="529B52C8" w14:textId="54840EF8" w:rsidR="00137F59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693F20E6" w14:textId="77777777" w:rsidR="00137F59" w:rsidRPr="00120295" w:rsidRDefault="00137F59" w:rsidP="009C0AD7">
            <w:pPr>
              <w:pStyle w:val="Blueboxtext"/>
              <w:widowControl w:val="0"/>
              <w:spacing w:before="0" w:after="0" w:line="240" w:lineRule="auto"/>
            </w:pPr>
          </w:p>
          <w:p w14:paraId="1D0B9A2C" w14:textId="77777777" w:rsidR="00B0656B" w:rsidRPr="00120295" w:rsidRDefault="00B0656B" w:rsidP="009C0AD7">
            <w:pPr>
              <w:pStyle w:val="Blueboxheading"/>
              <w:keepNext w:val="0"/>
              <w:widowControl w:val="0"/>
              <w:spacing w:before="0" w:line="240" w:lineRule="auto"/>
            </w:pPr>
            <w:r w:rsidRPr="00120295">
              <w:t>Question 10</w:t>
            </w:r>
          </w:p>
          <w:p w14:paraId="61265549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>How can people be encouraged to reuse multiple-use shopping bags enough times to offset the environmental impacts of producing them? (select one or more)</w:t>
            </w:r>
          </w:p>
          <w:p w14:paraId="16A2C06B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a. </w:t>
            </w:r>
            <w:r w:rsidRPr="00120295">
              <w:tab/>
            </w:r>
            <w:r>
              <w:t>v</w:t>
            </w:r>
            <w:r w:rsidRPr="00120295">
              <w:t>oluntary incentive schemes by individual retailers</w:t>
            </w:r>
          </w:p>
          <w:p w14:paraId="7CBC75C0" w14:textId="77777777" w:rsidR="00B0656B" w:rsidRPr="00120295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b. </w:t>
            </w:r>
            <w:r w:rsidRPr="00120295">
              <w:tab/>
            </w:r>
            <w:r>
              <w:t>n</w:t>
            </w:r>
            <w:r w:rsidRPr="00120295">
              <w:t>ational information campaign and mobile phone app for shoppers</w:t>
            </w:r>
          </w:p>
          <w:p w14:paraId="64FE3F62" w14:textId="2DB1040B" w:rsidR="00B0656B" w:rsidRDefault="00B0656B" w:rsidP="009C0AD7">
            <w:pPr>
              <w:pStyle w:val="Blueboxtext"/>
              <w:widowControl w:val="0"/>
              <w:spacing w:before="0" w:after="0" w:line="240" w:lineRule="auto"/>
            </w:pPr>
            <w:r w:rsidRPr="00120295">
              <w:t xml:space="preserve">c. </w:t>
            </w:r>
            <w:r w:rsidRPr="00120295">
              <w:tab/>
            </w:r>
            <w:r>
              <w:t>o</w:t>
            </w:r>
            <w:r w:rsidRPr="00120295">
              <w:t>ther (please specify)</w:t>
            </w:r>
          </w:p>
          <w:p w14:paraId="7AF4EE23" w14:textId="22351F1D" w:rsidR="00D920B2" w:rsidRDefault="00D920B2" w:rsidP="009C0AD7">
            <w:pPr>
              <w:pStyle w:val="Blueboxtext"/>
              <w:widowControl w:val="0"/>
              <w:spacing w:before="0" w:after="0" w:line="240" w:lineRule="auto"/>
            </w:pPr>
          </w:p>
          <w:p w14:paraId="70AEEC49" w14:textId="6683CB50" w:rsidR="00855A5F" w:rsidRPr="00120295" w:rsidRDefault="00D920B2" w:rsidP="009C0AD7">
            <w:pPr>
              <w:pStyle w:val="Blueboxtext"/>
              <w:widowControl w:val="0"/>
              <w:spacing w:before="0" w:after="0" w:line="240" w:lineRule="auto"/>
            </w:pPr>
            <w:r>
              <w:rPr>
                <w:color w:val="auto"/>
              </w:rPr>
              <w:t xml:space="preserve">We </w:t>
            </w:r>
            <w:r w:rsidR="00A9575D">
              <w:rPr>
                <w:color w:val="auto"/>
              </w:rPr>
              <w:t xml:space="preserve">would support funding being provided for </w:t>
            </w:r>
            <w:r>
              <w:rPr>
                <w:color w:val="auto"/>
              </w:rPr>
              <w:t xml:space="preserve">a national information campaign. </w:t>
            </w:r>
            <w:r w:rsidR="00A9575D">
              <w:rPr>
                <w:color w:val="auto"/>
              </w:rPr>
              <w:t xml:space="preserve">Retailers’ incentive schemes (e.g., a discount for using a reusable bag) can also be a useful way of encouraging reuse. </w:t>
            </w:r>
          </w:p>
        </w:tc>
      </w:tr>
    </w:tbl>
    <w:p w14:paraId="17B61F01" w14:textId="46F812B0" w:rsidR="009C0AD7" w:rsidRPr="009C0AD7" w:rsidRDefault="009C0AD7" w:rsidP="009C0AD7">
      <w:pPr>
        <w:widowControl w:val="0"/>
        <w:spacing w:after="0" w:line="240" w:lineRule="auto"/>
        <w:ind w:left="0" w:firstLine="0"/>
        <w:rPr>
          <w:rFonts w:ascii="Verdana" w:hAnsi="Verdana" w:cs="Arial"/>
          <w:color w:val="000000"/>
          <w:sz w:val="20"/>
          <w:szCs w:val="20"/>
        </w:rPr>
      </w:pPr>
    </w:p>
    <w:sectPr w:rsidR="009C0AD7" w:rsidRPr="009C0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47269" w14:textId="77777777" w:rsidR="009C5379" w:rsidRDefault="009C5379" w:rsidP="007C27A6">
      <w:pPr>
        <w:spacing w:after="0" w:line="240" w:lineRule="auto"/>
      </w:pPr>
      <w:r>
        <w:separator/>
      </w:r>
    </w:p>
  </w:endnote>
  <w:endnote w:type="continuationSeparator" w:id="0">
    <w:p w14:paraId="3B951C1E" w14:textId="77777777" w:rsidR="009C5379" w:rsidRDefault="009C5379" w:rsidP="007C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AC42" w14:textId="77777777" w:rsidR="009C5379" w:rsidRDefault="009C5379" w:rsidP="007C27A6">
      <w:pPr>
        <w:spacing w:after="0" w:line="240" w:lineRule="auto"/>
      </w:pPr>
      <w:r>
        <w:separator/>
      </w:r>
    </w:p>
  </w:footnote>
  <w:footnote w:type="continuationSeparator" w:id="0">
    <w:p w14:paraId="726554DD" w14:textId="77777777" w:rsidR="009C5379" w:rsidRDefault="009C5379" w:rsidP="007C2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3B19"/>
    <w:multiLevelType w:val="hybridMultilevel"/>
    <w:tmpl w:val="D66C65FC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56853"/>
    <w:multiLevelType w:val="hybridMultilevel"/>
    <w:tmpl w:val="1BE800B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31A0"/>
    <w:multiLevelType w:val="multilevel"/>
    <w:tmpl w:val="EBD0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0B2EC0"/>
    <w:multiLevelType w:val="hybridMultilevel"/>
    <w:tmpl w:val="6BAE75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92F1D"/>
    <w:multiLevelType w:val="hybridMultilevel"/>
    <w:tmpl w:val="423EBB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947E2C"/>
    <w:multiLevelType w:val="hybridMultilevel"/>
    <w:tmpl w:val="A4D05762"/>
    <w:lvl w:ilvl="0" w:tplc="496ADB9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60B54"/>
    <w:multiLevelType w:val="multilevel"/>
    <w:tmpl w:val="8B0A7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BD5DC4"/>
    <w:multiLevelType w:val="hybridMultilevel"/>
    <w:tmpl w:val="DCF8D730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8246F1"/>
    <w:multiLevelType w:val="hybridMultilevel"/>
    <w:tmpl w:val="5D6A226E"/>
    <w:lvl w:ilvl="0" w:tplc="7270D6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7"/>
  </w:num>
  <w:num w:numId="13">
    <w:abstractNumId w:val="15"/>
  </w:num>
  <w:num w:numId="14">
    <w:abstractNumId w:val="10"/>
  </w:num>
  <w:num w:numId="15">
    <w:abstractNumId w:val="13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7"/>
    <w:rsid w:val="00001FC7"/>
    <w:rsid w:val="0000786D"/>
    <w:rsid w:val="000238DA"/>
    <w:rsid w:val="00025A73"/>
    <w:rsid w:val="00026031"/>
    <w:rsid w:val="00034F19"/>
    <w:rsid w:val="000406A4"/>
    <w:rsid w:val="00075CB1"/>
    <w:rsid w:val="000922FA"/>
    <w:rsid w:val="000A2B46"/>
    <w:rsid w:val="000C100A"/>
    <w:rsid w:val="000C6B64"/>
    <w:rsid w:val="000E46F9"/>
    <w:rsid w:val="000F145F"/>
    <w:rsid w:val="000F2E43"/>
    <w:rsid w:val="00102D3B"/>
    <w:rsid w:val="00106E24"/>
    <w:rsid w:val="00122E22"/>
    <w:rsid w:val="001343FD"/>
    <w:rsid w:val="00137F59"/>
    <w:rsid w:val="00147751"/>
    <w:rsid w:val="00161E9B"/>
    <w:rsid w:val="001659FF"/>
    <w:rsid w:val="00175878"/>
    <w:rsid w:val="001900CC"/>
    <w:rsid w:val="001957B3"/>
    <w:rsid w:val="001A1D58"/>
    <w:rsid w:val="001C426B"/>
    <w:rsid w:val="001C5E88"/>
    <w:rsid w:val="001C6DD4"/>
    <w:rsid w:val="001D4470"/>
    <w:rsid w:val="001E4154"/>
    <w:rsid w:val="001E67EE"/>
    <w:rsid w:val="001E7465"/>
    <w:rsid w:val="001F01BE"/>
    <w:rsid w:val="001F0DFF"/>
    <w:rsid w:val="001F6D66"/>
    <w:rsid w:val="00200BDB"/>
    <w:rsid w:val="00203055"/>
    <w:rsid w:val="0022055D"/>
    <w:rsid w:val="00242117"/>
    <w:rsid w:val="00254034"/>
    <w:rsid w:val="00265F49"/>
    <w:rsid w:val="0027102D"/>
    <w:rsid w:val="002737C3"/>
    <w:rsid w:val="002757FC"/>
    <w:rsid w:val="002A0530"/>
    <w:rsid w:val="002A1DDE"/>
    <w:rsid w:val="002A2DA6"/>
    <w:rsid w:val="002A320D"/>
    <w:rsid w:val="002A3F58"/>
    <w:rsid w:val="002B6A8E"/>
    <w:rsid w:val="002C0A59"/>
    <w:rsid w:val="002E1833"/>
    <w:rsid w:val="002E1A55"/>
    <w:rsid w:val="002E4680"/>
    <w:rsid w:val="002E5ABB"/>
    <w:rsid w:val="002F2300"/>
    <w:rsid w:val="00302CDF"/>
    <w:rsid w:val="0030525C"/>
    <w:rsid w:val="00323D71"/>
    <w:rsid w:val="0032685D"/>
    <w:rsid w:val="00342161"/>
    <w:rsid w:val="00355BFC"/>
    <w:rsid w:val="00361A97"/>
    <w:rsid w:val="00365BD2"/>
    <w:rsid w:val="00382AFA"/>
    <w:rsid w:val="00382DDC"/>
    <w:rsid w:val="003C3531"/>
    <w:rsid w:val="003C46F5"/>
    <w:rsid w:val="003C5072"/>
    <w:rsid w:val="00402326"/>
    <w:rsid w:val="00404DE4"/>
    <w:rsid w:val="00413280"/>
    <w:rsid w:val="00414A2C"/>
    <w:rsid w:val="004230AE"/>
    <w:rsid w:val="0043543B"/>
    <w:rsid w:val="00437FB8"/>
    <w:rsid w:val="004518DD"/>
    <w:rsid w:val="004677B2"/>
    <w:rsid w:val="004801F3"/>
    <w:rsid w:val="004803F5"/>
    <w:rsid w:val="004811D3"/>
    <w:rsid w:val="00481DD1"/>
    <w:rsid w:val="00482439"/>
    <w:rsid w:val="0048385E"/>
    <w:rsid w:val="004A379A"/>
    <w:rsid w:val="004A4D70"/>
    <w:rsid w:val="004B33DC"/>
    <w:rsid w:val="004B6D39"/>
    <w:rsid w:val="004C1BD4"/>
    <w:rsid w:val="004C5E1B"/>
    <w:rsid w:val="004C6CA1"/>
    <w:rsid w:val="00512392"/>
    <w:rsid w:val="00515927"/>
    <w:rsid w:val="00525452"/>
    <w:rsid w:val="00527E43"/>
    <w:rsid w:val="00530E5A"/>
    <w:rsid w:val="005400BC"/>
    <w:rsid w:val="005413A8"/>
    <w:rsid w:val="005417CB"/>
    <w:rsid w:val="005433FA"/>
    <w:rsid w:val="00555214"/>
    <w:rsid w:val="00555A9F"/>
    <w:rsid w:val="00557322"/>
    <w:rsid w:val="00565982"/>
    <w:rsid w:val="005739AD"/>
    <w:rsid w:val="005805A7"/>
    <w:rsid w:val="00580803"/>
    <w:rsid w:val="00581F6B"/>
    <w:rsid w:val="00585903"/>
    <w:rsid w:val="00590F4A"/>
    <w:rsid w:val="005927D0"/>
    <w:rsid w:val="00595BB7"/>
    <w:rsid w:val="005B06CB"/>
    <w:rsid w:val="005D6650"/>
    <w:rsid w:val="005E1263"/>
    <w:rsid w:val="005E1FB2"/>
    <w:rsid w:val="005E3F73"/>
    <w:rsid w:val="00602233"/>
    <w:rsid w:val="00604185"/>
    <w:rsid w:val="0061531C"/>
    <w:rsid w:val="00626587"/>
    <w:rsid w:val="00626CF2"/>
    <w:rsid w:val="0065364C"/>
    <w:rsid w:val="00655191"/>
    <w:rsid w:val="00662628"/>
    <w:rsid w:val="0068163E"/>
    <w:rsid w:val="00687A54"/>
    <w:rsid w:val="006922C1"/>
    <w:rsid w:val="006962FC"/>
    <w:rsid w:val="006A2301"/>
    <w:rsid w:val="006A25C0"/>
    <w:rsid w:val="006A5D79"/>
    <w:rsid w:val="006B19C1"/>
    <w:rsid w:val="006B4AEC"/>
    <w:rsid w:val="006C3548"/>
    <w:rsid w:val="006E1CF6"/>
    <w:rsid w:val="006F030D"/>
    <w:rsid w:val="006F3475"/>
    <w:rsid w:val="0070162A"/>
    <w:rsid w:val="00707590"/>
    <w:rsid w:val="00715A46"/>
    <w:rsid w:val="00721B6F"/>
    <w:rsid w:val="00723F77"/>
    <w:rsid w:val="00725AA8"/>
    <w:rsid w:val="00733F0F"/>
    <w:rsid w:val="00743622"/>
    <w:rsid w:val="00743FF9"/>
    <w:rsid w:val="007541E2"/>
    <w:rsid w:val="007641E5"/>
    <w:rsid w:val="0078674E"/>
    <w:rsid w:val="007A1545"/>
    <w:rsid w:val="007A5D53"/>
    <w:rsid w:val="007B0293"/>
    <w:rsid w:val="007B0EF8"/>
    <w:rsid w:val="007B624C"/>
    <w:rsid w:val="007B746A"/>
    <w:rsid w:val="007C0680"/>
    <w:rsid w:val="007C27A6"/>
    <w:rsid w:val="007D5403"/>
    <w:rsid w:val="007D740F"/>
    <w:rsid w:val="007E0D4B"/>
    <w:rsid w:val="007E27E3"/>
    <w:rsid w:val="007F72AA"/>
    <w:rsid w:val="00804881"/>
    <w:rsid w:val="00811F1A"/>
    <w:rsid w:val="0081780D"/>
    <w:rsid w:val="00822964"/>
    <w:rsid w:val="00834310"/>
    <w:rsid w:val="00834942"/>
    <w:rsid w:val="008435F0"/>
    <w:rsid w:val="00850C58"/>
    <w:rsid w:val="00853F3F"/>
    <w:rsid w:val="00855A5F"/>
    <w:rsid w:val="00855E2D"/>
    <w:rsid w:val="008614DA"/>
    <w:rsid w:val="0086609D"/>
    <w:rsid w:val="00877901"/>
    <w:rsid w:val="008A1A58"/>
    <w:rsid w:val="008A3F66"/>
    <w:rsid w:val="008A432D"/>
    <w:rsid w:val="008D112E"/>
    <w:rsid w:val="008D2023"/>
    <w:rsid w:val="008D3C53"/>
    <w:rsid w:val="008E3A5B"/>
    <w:rsid w:val="008E3EDB"/>
    <w:rsid w:val="008F73D4"/>
    <w:rsid w:val="009033C3"/>
    <w:rsid w:val="00940E73"/>
    <w:rsid w:val="00943125"/>
    <w:rsid w:val="0094617D"/>
    <w:rsid w:val="00965393"/>
    <w:rsid w:val="009672B2"/>
    <w:rsid w:val="00990AFD"/>
    <w:rsid w:val="0099475E"/>
    <w:rsid w:val="00997E6F"/>
    <w:rsid w:val="009A2FB9"/>
    <w:rsid w:val="009A62F8"/>
    <w:rsid w:val="009B35EB"/>
    <w:rsid w:val="009C0AD7"/>
    <w:rsid w:val="009C2C8E"/>
    <w:rsid w:val="009C3F68"/>
    <w:rsid w:val="009C5379"/>
    <w:rsid w:val="009F6AB1"/>
    <w:rsid w:val="00A2355E"/>
    <w:rsid w:val="00A2559D"/>
    <w:rsid w:val="00A31AA4"/>
    <w:rsid w:val="00A33AC7"/>
    <w:rsid w:val="00A3797F"/>
    <w:rsid w:val="00A551F1"/>
    <w:rsid w:val="00A600D1"/>
    <w:rsid w:val="00A63223"/>
    <w:rsid w:val="00A70068"/>
    <w:rsid w:val="00A7243F"/>
    <w:rsid w:val="00A73D22"/>
    <w:rsid w:val="00A82B2E"/>
    <w:rsid w:val="00A910D2"/>
    <w:rsid w:val="00A9575D"/>
    <w:rsid w:val="00AA1F4F"/>
    <w:rsid w:val="00AA5612"/>
    <w:rsid w:val="00AB0A5D"/>
    <w:rsid w:val="00AC639D"/>
    <w:rsid w:val="00AD519E"/>
    <w:rsid w:val="00AF14EB"/>
    <w:rsid w:val="00AF47BC"/>
    <w:rsid w:val="00B00B39"/>
    <w:rsid w:val="00B0656B"/>
    <w:rsid w:val="00B15A73"/>
    <w:rsid w:val="00B33258"/>
    <w:rsid w:val="00B5102E"/>
    <w:rsid w:val="00B517E3"/>
    <w:rsid w:val="00B522D2"/>
    <w:rsid w:val="00B524CF"/>
    <w:rsid w:val="00B55ED1"/>
    <w:rsid w:val="00B57319"/>
    <w:rsid w:val="00B600B6"/>
    <w:rsid w:val="00B60230"/>
    <w:rsid w:val="00B7130C"/>
    <w:rsid w:val="00B73257"/>
    <w:rsid w:val="00B75179"/>
    <w:rsid w:val="00B807C3"/>
    <w:rsid w:val="00B9344D"/>
    <w:rsid w:val="00B93FA4"/>
    <w:rsid w:val="00BA47F6"/>
    <w:rsid w:val="00BA679C"/>
    <w:rsid w:val="00BB5763"/>
    <w:rsid w:val="00BB6DB4"/>
    <w:rsid w:val="00BC04AF"/>
    <w:rsid w:val="00BC482F"/>
    <w:rsid w:val="00BC5114"/>
    <w:rsid w:val="00BD544E"/>
    <w:rsid w:val="00BE09C2"/>
    <w:rsid w:val="00BF6A44"/>
    <w:rsid w:val="00C07DAC"/>
    <w:rsid w:val="00C1781D"/>
    <w:rsid w:val="00C178FE"/>
    <w:rsid w:val="00C23B4C"/>
    <w:rsid w:val="00C24B5C"/>
    <w:rsid w:val="00C33EE3"/>
    <w:rsid w:val="00C43DB3"/>
    <w:rsid w:val="00C467D0"/>
    <w:rsid w:val="00C606C5"/>
    <w:rsid w:val="00C6536D"/>
    <w:rsid w:val="00C6721D"/>
    <w:rsid w:val="00C7145E"/>
    <w:rsid w:val="00C9579E"/>
    <w:rsid w:val="00CB00A1"/>
    <w:rsid w:val="00CB66A2"/>
    <w:rsid w:val="00CD19C2"/>
    <w:rsid w:val="00CD6FEC"/>
    <w:rsid w:val="00CE3753"/>
    <w:rsid w:val="00CF063B"/>
    <w:rsid w:val="00D017E4"/>
    <w:rsid w:val="00D21B3A"/>
    <w:rsid w:val="00D26920"/>
    <w:rsid w:val="00D426DD"/>
    <w:rsid w:val="00D51F74"/>
    <w:rsid w:val="00D56AF8"/>
    <w:rsid w:val="00D80973"/>
    <w:rsid w:val="00D860F8"/>
    <w:rsid w:val="00D87350"/>
    <w:rsid w:val="00D91579"/>
    <w:rsid w:val="00D920B2"/>
    <w:rsid w:val="00D96EBD"/>
    <w:rsid w:val="00D96F56"/>
    <w:rsid w:val="00DA19EE"/>
    <w:rsid w:val="00DC0994"/>
    <w:rsid w:val="00DC1F45"/>
    <w:rsid w:val="00DD23D8"/>
    <w:rsid w:val="00E000F0"/>
    <w:rsid w:val="00E02BF3"/>
    <w:rsid w:val="00E0577B"/>
    <w:rsid w:val="00E1181D"/>
    <w:rsid w:val="00E20404"/>
    <w:rsid w:val="00E2653A"/>
    <w:rsid w:val="00E33F86"/>
    <w:rsid w:val="00E37ABD"/>
    <w:rsid w:val="00E40120"/>
    <w:rsid w:val="00E44661"/>
    <w:rsid w:val="00E60BBD"/>
    <w:rsid w:val="00E649E0"/>
    <w:rsid w:val="00E6719D"/>
    <w:rsid w:val="00E7149D"/>
    <w:rsid w:val="00E7242A"/>
    <w:rsid w:val="00E7278A"/>
    <w:rsid w:val="00E9116F"/>
    <w:rsid w:val="00E91599"/>
    <w:rsid w:val="00EA1766"/>
    <w:rsid w:val="00EA660C"/>
    <w:rsid w:val="00ED3B23"/>
    <w:rsid w:val="00EE431C"/>
    <w:rsid w:val="00EF0F3A"/>
    <w:rsid w:val="00F15443"/>
    <w:rsid w:val="00F3384B"/>
    <w:rsid w:val="00F41746"/>
    <w:rsid w:val="00F4694E"/>
    <w:rsid w:val="00F46DF7"/>
    <w:rsid w:val="00F50C8E"/>
    <w:rsid w:val="00F66062"/>
    <w:rsid w:val="00F869C6"/>
    <w:rsid w:val="00F91374"/>
    <w:rsid w:val="00F92664"/>
    <w:rsid w:val="00F943D8"/>
    <w:rsid w:val="00FA3013"/>
    <w:rsid w:val="00FC4633"/>
    <w:rsid w:val="00FC5BBF"/>
    <w:rsid w:val="00FD6BD4"/>
    <w:rsid w:val="00FE2801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1B6D9"/>
  <w15:docId w15:val="{31CE9376-37A8-402F-A7E6-8154885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17"/>
    <w:rPr>
      <w:rFonts w:ascii="Calibri" w:eastAsia="Calibri" w:hAnsi="Calibri" w:cs="Times New Roman"/>
    </w:rPr>
  </w:style>
  <w:style w:type="paragraph" w:styleId="Heading2">
    <w:name w:val="heading 2"/>
    <w:basedOn w:val="Normal"/>
    <w:next w:val="BodyText"/>
    <w:link w:val="Heading2Char"/>
    <w:qFormat/>
    <w:rsid w:val="00B0656B"/>
    <w:pPr>
      <w:keepNext/>
      <w:tabs>
        <w:tab w:val="left" w:pos="851"/>
      </w:tabs>
      <w:spacing w:before="360" w:after="0" w:line="240" w:lineRule="auto"/>
      <w:ind w:left="0" w:firstLine="0"/>
      <w:outlineLvl w:val="1"/>
    </w:pPr>
    <w:rPr>
      <w:rFonts w:eastAsiaTheme="majorEastAsia" w:cstheme="majorBidi"/>
      <w:b/>
      <w:bCs/>
      <w:color w:val="0F7B7D"/>
      <w:sz w:val="36"/>
      <w:szCs w:val="2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8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1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149D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7A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27A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0656B"/>
    <w:rPr>
      <w:rFonts w:ascii="Calibri" w:eastAsiaTheme="majorEastAsia" w:hAnsi="Calibri" w:cstheme="majorBidi"/>
      <w:b/>
      <w:bCs/>
      <w:color w:val="0F7B7D"/>
      <w:sz w:val="36"/>
      <w:szCs w:val="26"/>
      <w:lang w:eastAsia="en-NZ"/>
    </w:rPr>
  </w:style>
  <w:style w:type="table" w:styleId="TableGrid">
    <w:name w:val="Table Grid"/>
    <w:basedOn w:val="TableNormal"/>
    <w:uiPriority w:val="39"/>
    <w:rsid w:val="00B0656B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boxtext">
    <w:name w:val="Blue box text"/>
    <w:basedOn w:val="Normal"/>
    <w:uiPriority w:val="1"/>
    <w:qFormat/>
    <w:rsid w:val="00B0656B"/>
    <w:pPr>
      <w:spacing w:before="120" w:after="120" w:line="260" w:lineRule="atLeast"/>
      <w:ind w:left="284" w:right="284" w:firstLine="0"/>
    </w:pPr>
    <w:rPr>
      <w:rFonts w:eastAsiaTheme="minorEastAsia" w:cstheme="minorBidi"/>
      <w:color w:val="1C556C"/>
      <w:sz w:val="20"/>
      <w:lang w:eastAsia="en-NZ"/>
    </w:rPr>
  </w:style>
  <w:style w:type="paragraph" w:customStyle="1" w:styleId="Blueboxheading">
    <w:name w:val="Blue box heading"/>
    <w:basedOn w:val="Blueboxtext"/>
    <w:next w:val="Blueboxtext"/>
    <w:uiPriority w:val="1"/>
    <w:qFormat/>
    <w:rsid w:val="00B0656B"/>
    <w:pPr>
      <w:keepNext/>
      <w:spacing w:before="240" w:after="0"/>
    </w:pPr>
    <w:rPr>
      <w:rFonts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065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656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C0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0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eleise@consumer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sticshoppingbags.submissions@mfe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2" ma:contentTypeDescription="Create a new document." ma:contentTypeScope="" ma:versionID="c65214a3288f88abbcdd92f78fbcb4e8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b1b0d766d3c6c18828af6f8955b5b9f2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C8C7-E8C1-44FE-BFF9-EB5AFFF7A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6D01A-F57B-4EB1-8B03-9874B9EF9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FF33D-10C5-4D63-878A-E8F37BA5B2B8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ccaaa467-e82e-49b9-8768-7e782f885e53"/>
    <ds:schemaRef ds:uri="323ca5d0-fc35-4790-b913-da77b49b08c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F8DF0C-F62D-42D0-983D-06B3F169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NZ Incorporated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Wilson</dc:creator>
  <cp:lastModifiedBy>Aneleise Gawn</cp:lastModifiedBy>
  <cp:revision>48</cp:revision>
  <cp:lastPrinted>2018-09-13T02:27:00Z</cp:lastPrinted>
  <dcterms:created xsi:type="dcterms:W3CDTF">2018-09-04T21:45:00Z</dcterms:created>
  <dcterms:modified xsi:type="dcterms:W3CDTF">2018-09-19T01:27:00Z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</Properties>
</file>