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Project charter template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2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To help you set up your project charter, appvizer provides you with a free template. It's up to you to complete it with information about your project!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Further information:</w:t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https://www.appvizer.com/magazine/operations/project-management/project-charter-definition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Project context</w:t>
        <w:br w:type="textWrapping"/>
        <w:t xml:space="preserve">or problem to be solved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is the purpose of this project? What are the needs?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Project objective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are the expected results at the end of the project?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Project perimetre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What are the outlines and limits of the project?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Project budget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Budget envelope allocated to the project: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Expense items to be taken into account: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Project planning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Project Delivery Date: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Key Milestones: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Comments</w:t>
      </w: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66025" cy="47887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1723" l="0" r="9556" t="0"/>
                  <a:stretch>
                    <a:fillRect/>
                  </a:stretch>
                </pic:blipFill>
                <pic:spPr>
                  <a:xfrm>
                    <a:off x="0" y="0"/>
                    <a:ext cx="1766025" cy="478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com/magazine/operations/project-management/project-charter-definitio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