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  <w:rtl w:val="0"/>
        </w:rPr>
        <w:t xml:space="preserve">Attestation d’entretien de climatisation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463125" cy="9094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70200" y="3755250"/>
                          <a:ext cx="351600" cy="49500"/>
                        </a:xfrm>
                        <a:prstGeom prst="rect">
                          <a:avLst/>
                        </a:prstGeom>
                        <a:solidFill>
                          <a:srgbClr val="F000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463125" cy="9094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125" cy="90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Pour vous aider à établir vos attestations d’entretien de climatisation, appvizer met à votre disposition un modèle. À vous de le compléter avec les informations concernant votre intervention !</w:t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f0005a"/>
          <w:u w:val="singl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Source Sans Pro" w:cs="Source Sans Pro" w:eastAsia="Source Sans Pro" w:hAnsi="Source Sans Pro"/>
          <w:b w:val="1"/>
          <w:color w:val="122959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Conformément à l’arrêté du 24 juillet 2020 relatif à l’entretien des systèmes thermodynamiques dont la puissance nominale est comprise entre 4 kW et 70 kW.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Repère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Date :</w:t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  <w:rtl w:val="0"/>
              </w:rPr>
              <w:t xml:space="preserve">Coordonnées de l’entreprise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Établissement :</w:t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Contact 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Adresse 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Code postal :</w:t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Ville 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Tél :</w:t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E-mail :</w:t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  <w:rtl w:val="0"/>
              </w:rPr>
              <w:t xml:space="preserve">Coordonnées du commanditaire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Nom : </w:t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N° client 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Adresse 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Code postal :</w:t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Ville :</w:t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  <w:rtl w:val="0"/>
              </w:rPr>
              <w:t xml:space="preserve">Adresse de l’installation si différente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Nom : </w:t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N° client 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Adresse 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Code postal :</w:t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Ville :</w:t>
            </w:r>
          </w:p>
        </w:tc>
      </w:tr>
    </w:tbl>
    <w:p w:rsidR="00000000" w:rsidDel="00000000" w:rsidP="00000000" w:rsidRDefault="00000000" w:rsidRPr="00000000" w14:paraId="0000002F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000000000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3.333333333334"/>
        <w:gridCol w:w="3213.333333333334"/>
        <w:gridCol w:w="3213.333333333334"/>
        <w:tblGridChange w:id="0">
          <w:tblGrid>
            <w:gridCol w:w="3213.333333333334"/>
            <w:gridCol w:w="3213.333333333334"/>
            <w:gridCol w:w="3213.3333333333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  <w:rtl w:val="0"/>
              </w:rPr>
              <w:t xml:space="preserve">Pompe à chaleur</w:t>
            </w:r>
          </w:p>
        </w:tc>
        <w:tc>
          <w:tcPr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  <w:rtl w:val="0"/>
              </w:rPr>
              <w:t xml:space="preserve"> Groupe extérieur </w:t>
            </w:r>
          </w:p>
        </w:tc>
        <w:tc>
          <w:tcPr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  <w:rtl w:val="0"/>
              </w:rPr>
              <w:t xml:space="preserve">Unité intérieure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Marque</w:t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N° de série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Date de mise en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Puissance chaud/ froid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Fluide frigorigène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Date de la 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dernière prestation d’entretien </w:t>
            </w: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(si disponible):</w:t>
            </w:r>
          </w:p>
        </w:tc>
      </w:tr>
    </w:tbl>
    <w:p w:rsidR="00000000" w:rsidDel="00000000" w:rsidP="00000000" w:rsidRDefault="00000000" w:rsidRPr="00000000" w14:paraId="00000047">
      <w:pPr>
        <w:pStyle w:val="Heading1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POINTS DE CONTRÔLE DE L’ENTRETIEN</w:t>
      </w:r>
    </w:p>
    <w:p w:rsidR="00000000" w:rsidDel="00000000" w:rsidP="00000000" w:rsidRDefault="00000000" w:rsidRPr="00000000" w14:paraId="00000048">
      <w:pPr>
        <w:pStyle w:val="Heading2"/>
        <w:ind w:left="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Générateur thermodynamique de chaleur ou de froid</w:t>
      </w:r>
    </w:p>
    <w:p w:rsidR="00000000" w:rsidDel="00000000" w:rsidP="00000000" w:rsidRDefault="00000000" w:rsidRPr="00000000" w14:paraId="00000049">
      <w:pPr>
        <w:pStyle w:val="Heading3"/>
        <w:spacing w:line="360" w:lineRule="auto"/>
        <w:ind w:left="0" w:firstLine="0"/>
        <w:jc w:val="left"/>
        <w:rPr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1. Pour tous les systèmes thermodynamiques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Relevé des températures de l'unité intérieure et de l'unité extérieure et vérification du bon fonctionnement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Vérification du fonctionnement de l'inversion de cycle lorsque c'est possible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Vérification de l'enclenchement des appoints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Mesure des tensions électriques statiques et dynamiques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Contrôle d’étanchéité selon réglementation en vigueur</w:t>
      </w:r>
    </w:p>
    <w:p w:rsidR="00000000" w:rsidDel="00000000" w:rsidP="00000000" w:rsidRDefault="00000000" w:rsidRPr="00000000" w14:paraId="0000004F">
      <w:pPr>
        <w:pStyle w:val="Heading3"/>
        <w:spacing w:line="360" w:lineRule="auto"/>
        <w:ind w:left="0" w:firstLine="0"/>
        <w:jc w:val="left"/>
        <w:rPr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sz w:val="22"/>
          <w:szCs w:val="22"/>
          <w:rtl w:val="0"/>
        </w:rPr>
        <w:t xml:space="preserve">2. Pour les systèmes aérothermiques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Vérification de l’échangeur de l’unité extérieure et nettoyage si nécessaire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Nettoyage de l’unité intérieure et décrassage du filtre</w:t>
      </w:r>
    </w:p>
    <w:p w:rsidR="00000000" w:rsidDel="00000000" w:rsidP="00000000" w:rsidRDefault="00000000" w:rsidRPr="00000000" w14:paraId="00000052">
      <w:pPr>
        <w:pStyle w:val="Heading2"/>
        <w:ind w:left="0" w:firstLine="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Système de distribution</w:t>
      </w:r>
    </w:p>
    <w:p w:rsidR="00000000" w:rsidDel="00000000" w:rsidP="00000000" w:rsidRDefault="00000000" w:rsidRPr="00000000" w14:paraId="00000053">
      <w:pPr>
        <w:pStyle w:val="Heading3"/>
        <w:spacing w:line="360" w:lineRule="auto"/>
        <w:ind w:left="0" w:firstLine="0"/>
        <w:jc w:val="left"/>
        <w:rPr>
          <w:sz w:val="22"/>
          <w:szCs w:val="22"/>
        </w:rPr>
      </w:pPr>
      <w:bookmarkStart w:colFirst="0" w:colLast="0" w:name="_heading=h.tyjcwt" w:id="5"/>
      <w:bookmarkEnd w:id="5"/>
      <w:r w:rsidDel="00000000" w:rsidR="00000000" w:rsidRPr="00000000">
        <w:rPr>
          <w:sz w:val="22"/>
          <w:szCs w:val="22"/>
          <w:rtl w:val="0"/>
        </w:rPr>
        <w:t xml:space="preserve">3. Pour les systèmes de distribution par boucle d’eau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Contrôle de la pression de gonflage des vases d’expansion avec regonflage si nécessaire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Vérification et nettoyage du filtre sur la boucle d’eau si nécessaire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Contrôle de l’embouement lié au phénomène d’hydrolyse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Contrôle de la pression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Purge des bulles d’air du circuit lorsque le purgeur est fonctionnel et accessible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Vérification du fonctionnement des circulateurs</w:t>
      </w:r>
    </w:p>
    <w:p w:rsidR="00000000" w:rsidDel="00000000" w:rsidP="00000000" w:rsidRDefault="00000000" w:rsidRPr="00000000" w14:paraId="0000005A">
      <w:pPr>
        <w:pStyle w:val="Heading3"/>
        <w:spacing w:line="360" w:lineRule="auto"/>
        <w:ind w:left="0" w:firstLine="0"/>
        <w:jc w:val="left"/>
        <w:rPr>
          <w:sz w:val="22"/>
          <w:szCs w:val="22"/>
        </w:rPr>
      </w:pPr>
      <w:bookmarkStart w:colFirst="0" w:colLast="0" w:name="_heading=h.3dy6vkm" w:id="6"/>
      <w:bookmarkEnd w:id="6"/>
      <w:r w:rsidDel="00000000" w:rsidR="00000000" w:rsidRPr="00000000">
        <w:rPr>
          <w:sz w:val="22"/>
          <w:szCs w:val="22"/>
          <w:rtl w:val="0"/>
        </w:rPr>
        <w:t xml:space="preserve">4. Pour les systèmes de distribution par vecteur air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Vérification de l’état des gaines accessibles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Vérification et nettoyage avec désinfection si nécessaire de l’unité intérieure et du filtre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18"/>
          <w:szCs w:val="18"/>
          <w:rtl w:val="0"/>
        </w:rPr>
        <w:t xml:space="preserve">Vérification du fonctionnement du ventilateur</w:t>
      </w:r>
    </w:p>
    <w:p w:rsidR="00000000" w:rsidDel="00000000" w:rsidP="00000000" w:rsidRDefault="00000000" w:rsidRPr="00000000" w14:paraId="0000005E">
      <w:pPr>
        <w:pStyle w:val="Heading1"/>
        <w:jc w:val="center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RELEVÉ ET RÉSULTAT DES MESURES </w:t>
      </w:r>
    </w:p>
    <w:tbl>
      <w:tblPr>
        <w:tblStyle w:val="Table7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Tension électrique statique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Tension électrique statique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Températures de l’unité extérieure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Tension électrique dynamique 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Marque et référence des appareils de mesure utilisés 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Défauts de fonctionnement constatés sur le système thermodynamique :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Actions effectuées pour remédier à ces défauts :</w:t>
            </w:r>
          </w:p>
        </w:tc>
      </w:tr>
    </w:tbl>
    <w:p w:rsidR="00000000" w:rsidDel="00000000" w:rsidP="00000000" w:rsidRDefault="00000000" w:rsidRPr="00000000" w14:paraId="0000006A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spacing w:line="360" w:lineRule="auto"/>
        <w:jc w:val="center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Le bon usage</w:t>
      </w:r>
    </w:p>
    <w:p w:rsidR="00000000" w:rsidDel="00000000" w:rsidP="00000000" w:rsidRDefault="00000000" w:rsidRPr="00000000" w14:paraId="0000006C">
      <w:pPr>
        <w:pStyle w:val="Heading2"/>
        <w:spacing w:line="360" w:lineRule="auto"/>
        <w:ind w:left="0" w:firstLine="0"/>
        <w:jc w:val="left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Le système thermodynamique et le fluide frigorigène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Ne pas nettoyer la pompe à chaleur à l’aide d’un jet haute pression au risque d’endommager les circuits.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Assurez-vous que l’air circule correctement autour de la pompe à chaleur ; aucun obstacle ne doit gêner son fonctionnement (feuilles d’arbres, pollen, objets encombrants,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 En fonctionnement, de l’eau peut s’évacuer de l’appareil situé à l’extérieur lors des cycles de dégivrage; l’hiver, assurez-vous que l’évacuation de cette eau soit toujours possible; si l’installation est réalisée dans une région où la température peut être inférieure à 0 °C pendant une longue période, vérifier que la présence de glace au sol ne présente aucun danger. Lors des cycles de dégivrage, un dégagement de vapeur est courant: ce phénomène est normal et non dangereux.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Assurez-vous du bon fonctionnement des piles (ou accumulateurs) de vos appareils d’ambiance; il est recommandé de procéder à leur vérification annuellement.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Assurez-vous qu’aucune alarme ne soit présente sur le tableau de bord de la pompe à chaleur.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En cas d’absence prolongée, il est indispensable de mettre le système de chauffage en mode « hors gel » afin d’éviter une détérioration de l’installation. Chaque système est muni de ce type de réglage. En aucun cas l’installation doit être mise hors tension.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Il est recommandé de passer voir régulièrement si l’électricité n’est pas coupée.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Assurez-vous que les canalisations de fluide frigorigène sont bien isolées sur tout leur cheminement.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spacing w:line="360" w:lineRule="auto"/>
        <w:ind w:left="0" w:firstLine="0"/>
        <w:jc w:val="left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Les systèmes de régulation et de température</w:t>
      </w:r>
    </w:p>
    <w:p w:rsidR="00000000" w:rsidDel="00000000" w:rsidP="00000000" w:rsidRDefault="00000000" w:rsidRPr="00000000" w14:paraId="00000076">
      <w:pPr>
        <w:numPr>
          <w:ilvl w:val="0"/>
          <w:numId w:val="8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Afin d’assurer une continuité dans le confort que peut vous apporter votre installation: avoir des consommations d’énergie sans dérive, ne pas modifier constamment les réglages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Si la pompe à chaleur est réversible, quand elle fonctionne en rafraîchissement, à partir d’un niveau de température, les émetteurs pourront produire par condensation une certaine quantité d’eau. Il est indispensable de ne pas modifier les réglages afin d’éviter la condensation.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Dans le cas d’une pompe à chaleur Air / Air, s’assurer que le fonctionnement choisi dans les pièces (unités intérieures) soit en cohérence avec le mode sélectionné (chauffage ou rafraîchissement).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spacing w:line="360" w:lineRule="auto"/>
        <w:ind w:left="0" w:firstLine="0"/>
        <w:jc w:val="left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Le réseau de distribution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Dans le cas d’une pompe à chaleur sur un circuit hydraulique, ne pas vider le liquide du circuit de chauffage, et contrôler régulièrement sa pression; dans le cas où l’eau du circuit comporte des additifs (antigel, anti-boue, …), si vous effectuez un complément, il conviendra de faire vérifier la concentration de ces additifs par un professionnel afin de s’assurer que les protections sont toujours efficaces.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Attention, si des apports fréquents d’eau sont nécessaires, il faut procéder à une recherche de fuite.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Afin de préserver la performance de votre installation, faites vérifier la concentration du traitement d’eau périodiquement.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 Assurez-vous que les canalisations en dehors du volume chauffé sont bien isolées sur tout leur cheminement.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spacing w:line="360" w:lineRule="auto"/>
        <w:ind w:left="0" w:firstLine="0"/>
        <w:jc w:val="left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Les émetteurs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Si le logement dispose d’un plancher chauffant, afin d’exploiter correctement ce système de chauffage, il est recommandé que le revêtement de sol soit adapté à ce type d’émetteur.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spacing w:line="360" w:lineRule="auto"/>
        <w:ind w:left="0" w:firstLine="0"/>
        <w:jc w:val="left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Gestes éco-citoyens et comportements à adopter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Le chauffage représente un gros pourcentage de consommation d'énergie dans l'habitat. Avoir le réflexe de baisser le chauffage, c'est réduire sa facture,économiser l'énergie, et diminuer ses émissions de gaz à effet de serre!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Il est primordial d’adapter la température de son logement au confort attendu 19°C à 20 °C dans votre salle de séjour et 18 °C dans la chambre sont des températures couramment rencontrées. Chaque degré supplémentaire augmente la consommation énergétique de l’ordre de 7 % (source Ademe).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Ayez le réflexe de baisser votre chauffage (mode réduit) lorsque vous aérez vos pièces (5 à 10 minutes par jour, même en hiver), ou que vous partez de chez vous. Penser à utiliser le mode « hors gel » (ou mode vacances) pour une absence prolongée. Le système de programmation de la pompe à chaleur pourra le gérer d’une manière automatique.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after="0"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Laissez entrer la lumière du jour et la chaleur du soleil. Fermez les volets et/ou tirez les rideaux la nuit.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spacing w:line="360" w:lineRule="auto"/>
        <w:ind w:left="720" w:hanging="360"/>
        <w:jc w:val="left"/>
        <w:rPr>
          <w:rFonts w:ascii="Source Sans Pro" w:cs="Source Sans Pro" w:eastAsia="Source Sans Pro" w:hAnsi="Source Sans Pro"/>
          <w:color w:val="122959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Dans le cas d’une pompe à chaleur raccordée à un circuit de chauffage à eau chaude, utilisez le système de régulation intégré à votre PAC qui optimisera la température de votre chauffage en fonction de la température extérieure. Vous économiserez 10 à 25 % d'énergie, par rapport à un système de chauffage non régulé.</w:t>
      </w: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Autres conseils de bon usage :</w:t>
            </w:r>
          </w:p>
        </w:tc>
      </w:tr>
    </w:tbl>
    <w:p w:rsidR="00000000" w:rsidDel="00000000" w:rsidP="00000000" w:rsidRDefault="00000000" w:rsidRPr="00000000" w14:paraId="00000087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Les améliorations possibles de l’ensemble de l’installation et l’intérêt éventuel de remplacement de celle-ci:</w:t>
            </w:r>
          </w:p>
        </w:tc>
      </w:tr>
    </w:tbl>
    <w:p w:rsidR="00000000" w:rsidDel="00000000" w:rsidP="00000000" w:rsidRDefault="00000000" w:rsidRPr="00000000" w14:paraId="00000089">
      <w:pPr>
        <w:spacing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Observations :</w:t>
            </w:r>
          </w:p>
        </w:tc>
      </w:tr>
    </w:tbl>
    <w:p w:rsidR="00000000" w:rsidDel="00000000" w:rsidP="00000000" w:rsidRDefault="00000000" w:rsidRPr="00000000" w14:paraId="0000008B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Nom de la personne ayant effectué l’entretien: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Date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Signature :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3.8582677165355" w:top="1133.8582677165355" w:left="1133.8582677165355" w:right="1133.8582677165355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Source Serif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749" l="0" r="0" t="175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-457199</wp:posOffset>
              </wp:positionV>
              <wp:extent cx="8001000" cy="89351"/>
              <wp:effectExtent b="0" l="0" r="0" t="0"/>
              <wp:wrapTopAndBottom distB="0" distT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065000" y="3745050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F0005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-457199</wp:posOffset>
              </wp:positionV>
              <wp:extent cx="8001000" cy="89351"/>
              <wp:effectExtent b="0" l="0" r="0" t="0"/>
              <wp:wrapTopAndBottom distB="0" distT="0"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01000" cy="893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Pro-regular.ttf"/><Relationship Id="rId2" Type="http://schemas.openxmlformats.org/officeDocument/2006/relationships/font" Target="fonts/SourceSerifPro-bold.ttf"/><Relationship Id="rId3" Type="http://schemas.openxmlformats.org/officeDocument/2006/relationships/font" Target="fonts/SourceSerifPro-italic.ttf"/><Relationship Id="rId4" Type="http://schemas.openxmlformats.org/officeDocument/2006/relationships/font" Target="fonts/SourceSerifPro-boldItalic.ttf"/><Relationship Id="rId11" Type="http://schemas.openxmlformats.org/officeDocument/2006/relationships/font" Target="fonts/SourceSansPro-italic.ttf"/><Relationship Id="rId10" Type="http://schemas.openxmlformats.org/officeDocument/2006/relationships/font" Target="fonts/SourceSansPro-bold.ttf"/><Relationship Id="rId12" Type="http://schemas.openxmlformats.org/officeDocument/2006/relationships/font" Target="fonts/SourceSansPro-boldItalic.ttf"/><Relationship Id="rId9" Type="http://schemas.openxmlformats.org/officeDocument/2006/relationships/font" Target="fonts/SourceSansPro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rztUVtsXmhzZmQIEsaLm6Nk0rw==">AMUW2mXjQoFTxMnZnMxgNHkRUQlSyhJ42TwFpT9T9n5yafX+ajo63b+UirPH/MB3F9ja5JQ/3DsddJV5ozSScx3vv94ALEPeYjwbbYayix2N0WLaEWaWmNfQBkjBcuF3k7UQW+/0HrOx641Bytzemq/f4HzKaptmZ1ej2D+cuWr7OpZWTirA6bFtHsAJCUSfa7jpy97COfeLrXSoIEB/FB5Wf/YQnHDKxIMQ9qslgyq+c/pheoRGbM5Ikm4Zy8HQUzPsrdFA9bQw6xMmzXADzOFT6CMv+p0B/H+2SJR0WNmdnkTaW/g9kjMz/icrQLH1M4tCB2LLBQ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