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Prospection téléphonique : trame pour l’entretien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4" name="image3.png"/>
            <a:graphic>
              <a:graphicData uri="http://schemas.openxmlformats.org/drawingml/2006/picture">
                <pic:pic>
                  <pic:nvPicPr>
                    <pic:cNvPr descr="ligne courte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Pour vous aider à réaliser votre première prospection téléphonique (ou vous améliorer) voici une trame à suivre pour réussir votre téléprospection comme une·e chef·fe !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color w:val="00abd8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Plus d’infos : </w:t>
      </w:r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hyperlink r:id="rId7">
        <w:r w:rsidDel="00000000" w:rsidR="00000000" w:rsidRPr="00000000">
          <w:rPr>
            <w:rFonts w:ascii="Poppins" w:cs="Poppins" w:eastAsia="Poppins" w:hAnsi="Poppins"/>
            <w:color w:val="00abd8"/>
            <w:u w:val="single"/>
            <w:rtl w:val="0"/>
          </w:rPr>
          <w:t xml:space="preserve">https://www.appvizer.fr/magazine/relation-client/customer-relationship-management-crm/prospection-telephonique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1"/>
        <w:keepLines w:val="1"/>
        <w:spacing w:after="120" w:before="360" w:line="276" w:lineRule="auto"/>
        <w:jc w:val="left"/>
        <w:rPr>
          <w:rFonts w:ascii="Poppins" w:cs="Poppins" w:eastAsia="Poppins" w:hAnsi="Poppins"/>
        </w:rPr>
      </w:pPr>
      <w:bookmarkStart w:colFirst="0" w:colLast="0" w:name="_rficntbeqmmm" w:id="0"/>
      <w:bookmarkEnd w:id="0"/>
      <w:r w:rsidDel="00000000" w:rsidR="00000000" w:rsidRPr="00000000">
        <w:rPr>
          <w:rFonts w:ascii="Poppins" w:cs="Poppins" w:eastAsia="Poppins" w:hAnsi="Poppins"/>
          <w:sz w:val="48"/>
          <w:szCs w:val="48"/>
          <w:rtl w:val="0"/>
        </w:rPr>
        <w:t xml:space="preserve">Préparation de l’entretien téléphonique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30shm3yl8i8u" w:id="1"/>
      <w:bookmarkEnd w:id="1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Objectif(s) de l’appel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ex : obtenir le nom du décideur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ex : obtenir un rendez-vous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9ufbdjq3h6mq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ind w:firstLine="360"/>
        <w:jc w:val="left"/>
        <w:rPr>
          <w:rFonts w:ascii="Poppins" w:cs="Poppins" w:eastAsia="Poppins" w:hAnsi="Poppins"/>
        </w:rPr>
      </w:pPr>
      <w:bookmarkStart w:colFirst="0" w:colLast="0" w:name="_a65u4n6p8yit" w:id="3"/>
      <w:bookmarkEnd w:id="3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Informations sur l’interlocuteur (si connu)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ind w:firstLine="360"/>
        <w:jc w:val="left"/>
        <w:rPr>
          <w:rFonts w:ascii="Poppins" w:cs="Poppins" w:eastAsia="Poppins" w:hAnsi="Poppins"/>
        </w:rPr>
      </w:pPr>
      <w:bookmarkStart w:colFirst="0" w:colLast="0" w:name="_z3suddrmodvq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jc w:val="left"/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Prénom, Nom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jc w:val="left"/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Fonction dans l’entreprise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Historique de discussion</w:t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r5xaoibwhg78" w:id="5"/>
      <w:bookmarkEnd w:id="5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Préparer le traitement des objections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3.5"/>
        <w:gridCol w:w="5103.5"/>
        <w:tblGridChange w:id="0">
          <w:tblGrid>
            <w:gridCol w:w="5103.5"/>
            <w:gridCol w:w="5103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color w:val="243145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243145"/>
                <w:rtl w:val="0"/>
              </w:rPr>
              <w:t xml:space="preserve">Objection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color w:val="243145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243145"/>
                <w:rtl w:val="0"/>
              </w:rPr>
              <w:t xml:space="preserve">Réponse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Cela ne m’intéresse pas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Ah oui ? Pour quelles raisons ?</w:t>
            </w:r>
          </w:p>
        </w:tc>
      </w:tr>
      <w:tr>
        <w:trPr>
          <w:trHeight w:val="8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C’est 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Il est clair que cela peut représenter un investissement important. Mais le ROI moyen de nos clients est de 125 % au bout de la première année. Aussi, nous nous engageons à ce que vos retombées couvrent nos tarifs, sinon nous vous remboursons. Vous ne perdez rien à essayer 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 n’ai pas le temps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Je comprends, le temps c’est précieux. Je pense qu’avec un rendez-vous d’1h30 et demi seulement mon équipe sera capable de cadrer votre besoin et de vous faire une proposition de plan d’action sous deux semaines. Avez-vous un créneau disponible la semaine prochaine 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 ne connais pas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Prenons rendez-vous je pourrai tout vous expliquer en détail. Avez-vous un créneau d’1h30 la semaine prochaine ?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Pour en savoir plus, découvrez notre article dédié </w:t>
      </w:r>
      <w:r w:rsidDel="00000000" w:rsidR="00000000" w:rsidRPr="00000000">
        <w:rPr>
          <w:rtl w:val="0"/>
        </w:rPr>
        <w:t xml:space="preserve">sur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le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traitement des objections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rPr>
          <w:rFonts w:ascii="Poppins" w:cs="Poppins" w:eastAsia="Poppins" w:hAnsi="Poppins"/>
          <w:b w:val="1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b w:val="1"/>
          <w:sz w:val="48"/>
          <w:szCs w:val="48"/>
          <w:rtl w:val="0"/>
        </w:rPr>
        <w:t xml:space="preserve">Exemple de script</w:t>
      </w:r>
      <w:r w:rsidDel="00000000" w:rsidR="00000000" w:rsidRPr="00000000">
        <w:rPr>
          <w:rFonts w:ascii="Poppins" w:cs="Poppins" w:eastAsia="Poppins" w:hAnsi="Poppins"/>
          <w:b w:val="1"/>
          <w:sz w:val="48"/>
          <w:szCs w:val="48"/>
          <w:rtl w:val="0"/>
        </w:rPr>
        <w:t xml:space="preserve"> pendant l’entretien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1462333</wp:posOffset>
            </wp:positionH>
            <wp:positionV relativeFrom="page">
              <wp:posOffset>1504057</wp:posOffset>
            </wp:positionV>
            <wp:extent cx="4193842" cy="8828213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3842" cy="8828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sz w:val="48"/>
          <w:szCs w:val="48"/>
          <w:rtl w:val="0"/>
        </w:rPr>
        <w:t xml:space="preserve">Notes pendant l’entretien</w:t>
      </w: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jc w:val="left"/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Nom de l’interlocuteur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jc w:val="left"/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Les freins à l’achat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jc w:val="left"/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Les points positifs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i w:val="1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Date du prochain rendez-vous</w:t>
            </w:r>
          </w:p>
        </w:tc>
      </w:tr>
    </w:tbl>
    <w:p w:rsidR="00000000" w:rsidDel="00000000" w:rsidP="00000000" w:rsidRDefault="00000000" w:rsidRPr="00000000" w14:paraId="0000002F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Poppins" w:cs="Poppins" w:eastAsia="Poppins" w:hAnsi="Poppins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sz w:val="48"/>
          <w:szCs w:val="48"/>
          <w:rtl w:val="0"/>
        </w:rPr>
        <w:t xml:space="preserve">Conclusion après l’entretien</w:t>
      </w: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jc w:val="left"/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Entretien positif ? Négatif ?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jc w:val="left"/>
              <w:rPr>
                <w:rFonts w:ascii="Poppins" w:cs="Poppins" w:eastAsia="Poppins" w:hAnsi="Poppins"/>
                <w:i w:val="1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Prospect intéressant ?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i w:val="1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Etc.</w:t>
            </w:r>
          </w:p>
        </w:tc>
      </w:tr>
    </w:tbl>
    <w:p w:rsidR="00000000" w:rsidDel="00000000" w:rsidP="00000000" w:rsidRDefault="00000000" w:rsidRPr="00000000" w14:paraId="00000036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Poppins" w:cs="Poppins" w:eastAsia="Poppins" w:hAnsi="Poppins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 w:orient="portrait"/>
      <w:pgMar w:bottom="566.9291338582677" w:top="283.4645669291338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Actualité, guides et comparatifs de logiciels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ppvizer.fr/magazine/relation-client/customer-relationship-management-crm/traitement-des-objections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www.appvizer.fr/magazine/relation-client/customer-relationship-management-crm/prospection-telephonique" TargetMode="External"/><Relationship Id="rId8" Type="http://schemas.openxmlformats.org/officeDocument/2006/relationships/hyperlink" Target="https://www.appvizer.fr/magazine/relation-client/customer-relationship-management-crm/traitement-des-objection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PoppinsSemiBold-italic.ttf"/><Relationship Id="rId10" Type="http://schemas.openxmlformats.org/officeDocument/2006/relationships/font" Target="fonts/PoppinsSemiBold-bold.ttf"/><Relationship Id="rId12" Type="http://schemas.openxmlformats.org/officeDocument/2006/relationships/font" Target="fonts/PoppinsSemiBold-boldItalic.ttf"/><Relationship Id="rId9" Type="http://schemas.openxmlformats.org/officeDocument/2006/relationships/font" Target="fonts/PoppinsSemiBold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