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4"/>
          <w:szCs w:val="84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84"/>
          <w:szCs w:val="84"/>
          <w:rtl w:val="0"/>
        </w:rPr>
        <w:t xml:space="preserve">Exemple :</w:t>
        <w:br w:type="textWrapping"/>
        <w:t xml:space="preserve">calcul du besoin en fonds de roulement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21167</wp:posOffset>
            </wp:positionH>
            <wp:positionV relativeFrom="paragraph">
              <wp:posOffset>68792</wp:posOffset>
            </wp:positionV>
            <wp:extent cx="447675" cy="57150"/>
            <wp:effectExtent b="0" l="0" r="0" t="0"/>
            <wp:wrapTopAndBottom distB="0" distT="0"/>
            <wp:docPr descr="ligne courte" id="3" name="image2.png"/>
            <a:graphic>
              <a:graphicData uri="http://schemas.openxmlformats.org/drawingml/2006/picture">
                <pic:pic>
                  <pic:nvPicPr>
                    <pic:cNvPr descr="ligne court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Pour vous aider à mieux comprendre la méthode de calcul du besoin en fonds de roulement (BFR) de votre entreprise, Appvizer met à votre disposition un cas pratique détaillé. Vous pouvez vous en inspirer pour faire vos propres calculs 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360" w:lineRule="auto"/>
        <w:ind w:left="0" w:firstLine="0"/>
        <w:jc w:val="left"/>
        <w:rPr>
          <w:rFonts w:ascii="Poppins" w:cs="Poppins" w:eastAsia="Poppins" w:hAnsi="Poppins"/>
          <w:color w:val="00abd8"/>
          <w:u w:val="single"/>
        </w:rPr>
      </w:pP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Plus d’infos : </w:t>
      </w:r>
      <w:hyperlink r:id="rId7">
        <w:r w:rsidDel="00000000" w:rsidR="00000000" w:rsidRPr="00000000">
          <w:rPr>
            <w:rFonts w:ascii="Poppins" w:cs="Poppins" w:eastAsia="Poppins" w:hAnsi="Poppins"/>
            <w:color w:val="00abd8"/>
            <w:u w:val="single"/>
            <w:rtl w:val="0"/>
          </w:rPr>
          <w:t xml:space="preserve">https://www.appvizer.fr/magazine/finance-comptabilite/comptabilite/besoin-fonds-roulement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1"/>
        <w:keepNext w:val="1"/>
        <w:keepLines w:val="1"/>
        <w:spacing w:after="120" w:before="360" w:line="276" w:lineRule="auto"/>
        <w:jc w:val="left"/>
        <w:rPr>
          <w:rFonts w:ascii="Poppins" w:cs="Poppins" w:eastAsia="Poppins" w:hAnsi="Poppins"/>
        </w:rPr>
      </w:pPr>
      <w:bookmarkStart w:colFirst="0" w:colLast="0" w:name="_rficntbeqmmm" w:id="0"/>
      <w:bookmarkEnd w:id="0"/>
      <w:r w:rsidDel="00000000" w:rsidR="00000000" w:rsidRPr="00000000">
        <w:rPr>
          <w:rFonts w:ascii="Poppins" w:cs="Poppins" w:eastAsia="Poppins" w:hAnsi="Poppins"/>
          <w:sz w:val="48"/>
          <w:szCs w:val="48"/>
          <w:rtl w:val="0"/>
        </w:rPr>
        <w:t xml:space="preserve">Exemple : calcul du BFR d’une entreprise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2"/>
        <w:ind w:firstLine="360"/>
        <w:jc w:val="left"/>
        <w:rPr>
          <w:rFonts w:ascii="Poppins SemiBold" w:cs="Poppins SemiBold" w:eastAsia="Poppins SemiBold" w:hAnsi="Poppins SemiBold"/>
          <w:b w:val="0"/>
          <w:color w:val="000000"/>
          <w:sz w:val="22"/>
          <w:szCs w:val="22"/>
        </w:rPr>
      </w:pPr>
      <w:bookmarkStart w:colFirst="0" w:colLast="0" w:name="_30shm3yl8i8u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Prenons l’exemple d’une entreprise de production, dont le chiffre d’affaires s’élève à 500 000 euros HT (600 000 euros TTC, avec la TVA à 20 %)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Voici les caractéristiques de cette entreprise 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left="72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Achats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: 150 000 € sont consacrés aux achats (180 000 € TTC).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before="0" w:lineRule="auto"/>
        <w:ind w:left="72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Conditions de règlement des clients : 50 % à 30 jours et 50 % à 60 jours.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before="0" w:lineRule="auto"/>
        <w:ind w:left="72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Délais de paiement des fournisseurs : 40 % à 60 jours et 60 % à 30 jours.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before="0" w:lineRule="auto"/>
        <w:ind w:left="72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Les stocks de consommables représentent 1,5 mois d’achats HT.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left="720" w:hanging="360"/>
        <w:jc w:val="left"/>
        <w:rPr>
          <w:rFonts w:ascii="Poppins" w:cs="Poppins" w:eastAsia="Poppins" w:hAnsi="Poppins"/>
          <w:u w:val="none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Les stocks de produits finis représentent 10 jours de chiffre d’affaires HT.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left="720" w:firstLine="0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00" w:lineRule="auto"/>
        <w:ind w:left="0" w:firstLine="0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Voici comment calculer le BFR :</w:t>
      </w:r>
      <w:r w:rsidDel="00000000" w:rsidR="00000000" w:rsidRPr="00000000">
        <w:rPr>
          <w:rtl w:val="0"/>
        </w:rPr>
      </w:r>
    </w:p>
    <w:tbl>
      <w:tblPr>
        <w:tblStyle w:val="Table1"/>
        <w:tblW w:w="10207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07"/>
        <w:tblGridChange w:id="0">
          <w:tblGrid>
            <w:gridCol w:w="10207"/>
          </w:tblGrid>
        </w:tblGridChange>
      </w:tblGrid>
      <w:tr>
        <w:tc>
          <w:tcPr>
            <w:tcBorders>
              <w:top w:color="00abd8" w:space="0" w:sz="8" w:val="single"/>
              <w:left w:color="00abd8" w:space="0" w:sz="8" w:val="single"/>
              <w:bottom w:color="00abd8" w:space="0" w:sz="8" w:val="single"/>
              <w:right w:color="00abd8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0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Créances clients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 = </w:t>
            </w:r>
          </w:p>
          <w:p w:rsidR="00000000" w:rsidDel="00000000" w:rsidP="00000000" w:rsidRDefault="00000000" w:rsidRPr="00000000" w14:paraId="00000015">
            <w:pPr>
              <w:numPr>
                <w:ilvl w:val="1"/>
                <w:numId w:val="2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00" w:lineRule="auto"/>
              <w:ind w:left="144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(50 % x 30 jours) + (50 % x 60 jours) = 15 jours + 30 jours =</w:t>
            </w: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45 jours de CA TTC</w:t>
            </w:r>
          </w:p>
          <w:p w:rsidR="00000000" w:rsidDel="00000000" w:rsidP="00000000" w:rsidRDefault="00000000" w:rsidRPr="00000000" w14:paraId="00000016">
            <w:pPr>
              <w:numPr>
                <w:ilvl w:val="1"/>
                <w:numId w:val="2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00" w:lineRule="auto"/>
              <w:ind w:left="144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500 000 € x 45 jours / 365 jours =</w:t>
            </w: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 61 644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 €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00" w:before="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Stocks de consommables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 = 150 000 € x 1,5 mois / 12 mois =</w:t>
            </w: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 18 750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 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spacing w:after="200" w:line="360" w:lineRule="auto"/>
              <w:ind w:left="72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Stocks de produits finis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 = 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500 000 € x 10 / 365 jours =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13 699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 €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Cré</w:t>
            </w: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dit fournisseur 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=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00" w:before="0" w:line="276" w:lineRule="auto"/>
              <w:ind w:left="1440" w:right="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(40 % x 60 jours) + (60 % x 30 jours) = 24 jours + 18 jours = 42 jours d'achats TTC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200" w:before="0" w:line="276" w:lineRule="auto"/>
              <w:ind w:left="1440" w:right="0" w:hanging="36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180 000 € x 42 jours / 365 jours = 20 712 €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360" w:lineRule="auto"/>
              <w:ind w:left="720" w:right="0" w:hanging="360"/>
              <w:jc w:val="left"/>
              <w:rPr>
                <w:rFonts w:ascii="Poppins" w:cs="Poppins" w:eastAsia="Poppins" w:hAnsi="Poppins"/>
                <w:u w:val="none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BFR</w:t>
            </w: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 = (61 644 +  18 750 + 13 699) - 20 712 = </w:t>
            </w: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73 381 €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566.9291338582677" w:top="1133.8582677165355" w:left="1133.8582677165355" w:right="566.9291338582677" w:header="720.0000000000001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Poppins SemiBold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color="auto" w:space="0" w:sz="0" w:val="none"/>
        <w:left w:color="auto" w:space="0" w:sz="0" w:val="none"/>
        <w:bottom w:color="auto" w:space="0" w:sz="0" w:val="none"/>
        <w:right w:color="auto" w:space="0" w:sz="0" w:val="none"/>
        <w:between w:color="auto" w:space="0" w:sz="0" w:val="none"/>
      </w:pBdr>
      <w:shd w:fill="ffffff" w:val="clear"/>
      <w:spacing w:after="1000" w:lineRule="auto"/>
      <w:ind w:left="720" w:firstLine="0"/>
      <w:jc w:val="left"/>
      <w:rPr>
        <w:rFonts w:ascii="Poppins" w:cs="Poppins" w:eastAsia="Poppins" w:hAnsi="Poppins"/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spacing w:after="0" w:lineRule="auto"/>
      <w:rPr/>
    </w:pPr>
    <w:r w:rsidDel="00000000" w:rsidR="00000000" w:rsidRPr="00000000">
      <w:rPr/>
      <w:drawing>
        <wp:inline distB="114300" distT="114300" distL="114300" distR="114300">
          <wp:extent cx="1756500" cy="428625"/>
          <wp:effectExtent b="0" l="0" r="0" t="0"/>
          <wp:docPr id="2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10044" t="0"/>
                  <a:stretch>
                    <a:fillRect/>
                  </a:stretch>
                </pic:blipFill>
                <pic:spPr>
                  <a:xfrm>
                    <a:off x="0" y="0"/>
                    <a:ext cx="1756500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br w:type="textWrapping"/>
      <w:t xml:space="preserve">    </w:t>
    </w:r>
    <w:r w:rsidDel="00000000" w:rsidR="00000000" w:rsidRPr="00000000">
      <w:rPr>
        <w:rFonts w:ascii="Poppins" w:cs="Poppins" w:eastAsia="Poppins" w:hAnsi="Poppins"/>
        <w:sz w:val="12"/>
        <w:szCs w:val="12"/>
        <w:rtl w:val="0"/>
      </w:rPr>
      <w:t xml:space="preserve">Actualité, guides et comparatifs de logiciels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3575" y="475725"/>
                        <a:ext cx="8562000" cy="69900"/>
                      </a:xfrm>
                      <a:prstGeom prst="rect">
                        <a:avLst/>
                      </a:prstGeom>
                      <a:solidFill>
                        <a:srgbClr val="00ABD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1475" cy="798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00" w:line="240" w:lineRule="auto"/>
    </w:pPr>
    <w:rPr>
      <w:b w:val="1"/>
      <w:color w:val="243145"/>
      <w:sz w:val="28"/>
      <w:szCs w:val="28"/>
    </w:rPr>
  </w:style>
  <w:style w:type="paragraph" w:styleId="Heading2">
    <w:name w:val="heading 2"/>
    <w:basedOn w:val="Normal"/>
    <w:next w:val="Normal"/>
    <w:pPr>
      <w:spacing w:before="100" w:line="240" w:lineRule="auto"/>
      <w:ind w:left="720" w:firstLine="0"/>
    </w:pPr>
    <w:rPr>
      <w:b w:val="1"/>
      <w:color w:val="0880a6"/>
      <w:sz w:val="24"/>
      <w:szCs w:val="24"/>
    </w:rPr>
  </w:style>
  <w:style w:type="paragraph" w:styleId="Heading3">
    <w:name w:val="heading 3"/>
    <w:basedOn w:val="Normal"/>
    <w:next w:val="Normal"/>
    <w:pPr>
      <w:spacing w:before="100" w:line="240" w:lineRule="auto"/>
      <w:ind w:left="1440" w:firstLine="0"/>
    </w:pPr>
    <w:rPr>
      <w:b w:val="1"/>
      <w:color w:val="00abd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line="240" w:lineRule="auto"/>
      <w:ind w:left="2160" w:firstLine="0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spacing w:after="0" w:lineRule="auto"/>
      <w:jc w:val="center"/>
    </w:pPr>
    <w:rPr>
      <w:color w:val="24314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appvizer.fr/magazine/finance-comptabilite/comptabilite/besoin-fonds-roulement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11" Type="http://schemas.openxmlformats.org/officeDocument/2006/relationships/font" Target="fonts/PoppinsSemiBold-italic.ttf"/><Relationship Id="rId10" Type="http://schemas.openxmlformats.org/officeDocument/2006/relationships/font" Target="fonts/PoppinsSemiBold-bold.ttf"/><Relationship Id="rId12" Type="http://schemas.openxmlformats.org/officeDocument/2006/relationships/font" Target="fonts/PoppinsSemiBold-boldItalic.ttf"/><Relationship Id="rId9" Type="http://schemas.openxmlformats.org/officeDocument/2006/relationships/font" Target="fonts/PoppinsSemiBold-regular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