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before="480" w:line="276" w:lineRule="auto"/>
        <w:jc w:val="center"/>
        <w:rPr>
          <w:sz w:val="46"/>
          <w:szCs w:val="46"/>
        </w:rPr>
      </w:pPr>
      <w:bookmarkStart w:colFirst="0" w:colLast="0" w:name="_huswayelzswb" w:id="0"/>
      <w:bookmarkEnd w:id="0"/>
      <w:r w:rsidDel="00000000" w:rsidR="00000000" w:rsidRPr="00000000">
        <w:rPr>
          <w:rtl w:val="0"/>
        </w:rPr>
      </w:r>
    </w:p>
    <w:p w:rsidR="00000000" w:rsidDel="00000000" w:rsidP="00000000" w:rsidRDefault="00000000" w:rsidRPr="00000000" w14:paraId="00000002">
      <w:pPr>
        <w:pStyle w:val="Heading1"/>
        <w:spacing w:after="120" w:before="480" w:line="276" w:lineRule="auto"/>
        <w:jc w:val="center"/>
        <w:rPr>
          <w:sz w:val="46"/>
          <w:szCs w:val="46"/>
        </w:rPr>
      </w:pPr>
      <w:bookmarkStart w:colFirst="0" w:colLast="0" w:name="_ge325ho1nt"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spacing w:after="120" w:before="480" w:line="276" w:lineRule="auto"/>
        <w:jc w:val="center"/>
        <w:rPr>
          <w:sz w:val="46"/>
          <w:szCs w:val="46"/>
        </w:rPr>
      </w:pPr>
      <w:bookmarkStart w:colFirst="0" w:colLast="0" w:name="_ynp3o3satyih" w:id="2"/>
      <w:bookmarkEnd w:id="2"/>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spacing w:after="120" w:before="480" w:line="276" w:lineRule="auto"/>
        <w:jc w:val="center"/>
        <w:rPr>
          <w:color w:val="000000"/>
          <w:sz w:val="46"/>
          <w:szCs w:val="46"/>
        </w:rPr>
      </w:pPr>
      <w:bookmarkStart w:colFirst="0" w:colLast="0" w:name="_gam081z6e6mt" w:id="3"/>
      <w:bookmarkEnd w:id="3"/>
      <w:r w:rsidDel="00000000" w:rsidR="00000000" w:rsidRPr="00000000">
        <w:rPr>
          <w:color w:val="000000"/>
          <w:sz w:val="46"/>
          <w:szCs w:val="46"/>
          <w:rtl w:val="0"/>
        </w:rPr>
        <w:t xml:space="preserve">POLITIQUE DE SÉCURITÉ INFORMATIQUE</w:t>
      </w:r>
    </w:p>
    <w:p w:rsidR="00000000" w:rsidDel="00000000" w:rsidP="00000000" w:rsidRDefault="00000000" w:rsidRPr="00000000" w14:paraId="00000008">
      <w:pPr>
        <w:pStyle w:val="Heading2"/>
        <w:spacing w:after="80" w:before="360" w:line="276" w:lineRule="auto"/>
        <w:ind w:left="0" w:firstLine="0"/>
        <w:rPr>
          <w:sz w:val="34"/>
          <w:szCs w:val="34"/>
        </w:rPr>
      </w:pPr>
      <w:bookmarkStart w:colFirst="0" w:colLast="0" w:name="_vrf640bgdo4o" w:id="4"/>
      <w:bookmarkEnd w:id="4"/>
      <w:r w:rsidDel="00000000" w:rsidR="00000000" w:rsidRPr="00000000">
        <w:rPr>
          <w:rtl w:val="0"/>
        </w:rPr>
      </w:r>
    </w:p>
    <w:p w:rsidR="00000000" w:rsidDel="00000000" w:rsidP="00000000" w:rsidRDefault="00000000" w:rsidRPr="00000000" w14:paraId="00000009">
      <w:pPr>
        <w:pStyle w:val="Heading2"/>
        <w:spacing w:after="80" w:before="360" w:line="276" w:lineRule="auto"/>
        <w:ind w:left="0" w:firstLine="0"/>
        <w:rPr>
          <w:sz w:val="34"/>
          <w:szCs w:val="34"/>
        </w:rPr>
      </w:pPr>
      <w:bookmarkStart w:colFirst="0" w:colLast="0" w:name="_vu4fuycmoxfi" w:id="5"/>
      <w:bookmarkEnd w:id="5"/>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rPr/>
      </w:pPr>
      <w:bookmarkStart w:colFirst="0" w:colLast="0" w:name="_81mnjnv1w0ve" w:id="6"/>
      <w:bookmarkEnd w:id="6"/>
      <w:r w:rsidDel="00000000" w:rsidR="00000000" w:rsidRPr="00000000">
        <w:rPr>
          <w:rtl w:val="0"/>
        </w:rPr>
        <w:t xml:space="preserve">Politique de sécurité du système d'information</w:t>
      </w:r>
    </w:p>
    <w:p w:rsidR="00000000" w:rsidDel="00000000" w:rsidP="00000000" w:rsidRDefault="00000000" w:rsidRPr="00000000" w14:paraId="0000000B">
      <w:pPr>
        <w:spacing w:after="240" w:before="240" w:lineRule="auto"/>
        <w:rPr/>
      </w:pPr>
      <w:r w:rsidDel="00000000" w:rsidR="00000000" w:rsidRPr="00000000">
        <w:rPr>
          <w:rtl w:val="0"/>
        </w:rPr>
        <w:t xml:space="preserve">[Nom de l’entreprise]</w:t>
        <w:br w:type="textWrapping"/>
        <w:t xml:space="preserve">[Adresse] — [Téléphone] — [Email]</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Ce document définit le cadre de gestion de la sécurité informatique au sein de l’entreprise. Il fixe les principes, responsabilités et règles permettant de protéger les systèmes d’information, les données et les utilisateurs. Il doit être adapté en fonction des réalités organisationnelles, juridiques et techniques de chaque structure.</w:t>
      </w:r>
    </w:p>
    <w:p w:rsidR="00000000" w:rsidDel="00000000" w:rsidP="00000000" w:rsidRDefault="00000000" w:rsidRPr="00000000" w14:paraId="0000000D">
      <w:pPr>
        <w:spacing w:after="240" w:before="240" w:lineRule="auto"/>
        <w:rPr>
          <w:i w:val="1"/>
        </w:rPr>
      </w:pPr>
      <w:r w:rsidDel="00000000" w:rsidR="00000000" w:rsidRPr="00000000">
        <w:rPr>
          <w:rtl w:val="0"/>
        </w:rPr>
      </w:r>
    </w:p>
    <w:p w:rsidR="00000000" w:rsidDel="00000000" w:rsidP="00000000" w:rsidRDefault="00000000" w:rsidRPr="00000000" w14:paraId="0000000E">
      <w:pPr>
        <w:pStyle w:val="Heading2"/>
        <w:spacing w:after="80" w:before="360" w:line="276" w:lineRule="auto"/>
        <w:ind w:left="0" w:firstLine="0"/>
        <w:rPr>
          <w:color w:val="000000"/>
          <w:sz w:val="34"/>
          <w:szCs w:val="34"/>
        </w:rPr>
      </w:pPr>
      <w:bookmarkStart w:colFirst="0" w:colLast="0" w:name="_5f8awbrzayu7" w:id="7"/>
      <w:bookmarkEnd w:id="7"/>
      <w:r w:rsidDel="00000000" w:rsidR="00000000" w:rsidRPr="00000000">
        <w:rPr>
          <w:color w:val="000000"/>
          <w:sz w:val="34"/>
          <w:szCs w:val="34"/>
          <w:rtl w:val="0"/>
        </w:rPr>
        <w:t xml:space="preserve">Tableau de suivi des versions</w:t>
      </w:r>
    </w:p>
    <w:tbl>
      <w:tblPr>
        <w:tblStyle w:val="Table1"/>
        <w:tblW w:w="65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0"/>
        <w:gridCol w:w="845"/>
        <w:gridCol w:w="2690"/>
        <w:gridCol w:w="2015"/>
        <w:tblGridChange w:id="0">
          <w:tblGrid>
            <w:gridCol w:w="1010"/>
            <w:gridCol w:w="845"/>
            <w:gridCol w:w="2690"/>
            <w:gridCol w:w="201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jc w:val="center"/>
              <w:rPr/>
            </w:pPr>
            <w:r w:rsidDel="00000000" w:rsidR="00000000" w:rsidRPr="00000000">
              <w:rPr>
                <w:b w:val="1"/>
                <w:rtl w:val="0"/>
              </w:rPr>
              <w:t xml:space="preserve">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jc w:val="center"/>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jc w:val="center"/>
              <w:rPr/>
            </w:pPr>
            <w:r w:rsidDel="00000000" w:rsidR="00000000" w:rsidRPr="00000000">
              <w:rPr>
                <w:b w:val="1"/>
                <w:rtl w:val="0"/>
              </w:rPr>
              <w:t xml:space="preserve">Modifications apportées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jc w:val="center"/>
              <w:rPr/>
            </w:pPr>
            <w:r w:rsidDel="00000000" w:rsidR="00000000" w:rsidRPr="00000000">
              <w:rPr>
                <w:b w:val="1"/>
                <w:rtl w:val="0"/>
              </w:rPr>
              <w:t xml:space="preserve">Validé par</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pPr>
            <w:r w:rsidDel="00000000" w:rsidR="00000000" w:rsidRPr="00000000">
              <w:rPr>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Création du document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t xml:space="preserve">[Nom du valideur]</w:t>
            </w:r>
          </w:p>
        </w:tc>
      </w:tr>
    </w:tbl>
    <w:p w:rsidR="00000000" w:rsidDel="00000000" w:rsidP="00000000" w:rsidRDefault="00000000" w:rsidRPr="00000000" w14:paraId="00000017">
      <w:pPr>
        <w:pStyle w:val="Heading2"/>
        <w:spacing w:after="80" w:before="360" w:line="276" w:lineRule="auto"/>
        <w:ind w:left="0" w:firstLine="0"/>
        <w:rPr>
          <w:sz w:val="34"/>
          <w:szCs w:val="34"/>
        </w:rPr>
      </w:pPr>
      <w:bookmarkStart w:colFirst="0" w:colLast="0" w:name="_dti4v82ye9rz" w:id="8"/>
      <w:bookmarkEnd w:id="8"/>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spacing w:after="80" w:before="360" w:line="276" w:lineRule="auto"/>
        <w:ind w:left="0" w:firstLine="0"/>
        <w:rPr>
          <w:color w:val="000000"/>
          <w:sz w:val="34"/>
          <w:szCs w:val="34"/>
        </w:rPr>
      </w:pPr>
      <w:bookmarkStart w:colFirst="0" w:colLast="0" w:name="_ivjge5shwryy" w:id="9"/>
      <w:bookmarkEnd w:id="9"/>
      <w:r w:rsidDel="00000000" w:rsidR="00000000" w:rsidRPr="00000000">
        <w:rPr>
          <w:color w:val="000000"/>
          <w:sz w:val="34"/>
          <w:szCs w:val="34"/>
          <w:rtl w:val="0"/>
        </w:rPr>
        <w:t xml:space="preserve">Contexte réglementaire</w:t>
      </w:r>
    </w:p>
    <w:p w:rsidR="00000000" w:rsidDel="00000000" w:rsidP="00000000" w:rsidRDefault="00000000" w:rsidRPr="00000000" w14:paraId="00000019">
      <w:pPr>
        <w:spacing w:after="240" w:before="240" w:lineRule="auto"/>
        <w:rPr/>
      </w:pPr>
      <w:r w:rsidDel="00000000" w:rsidR="00000000" w:rsidRPr="00000000">
        <w:rPr>
          <w:rtl w:val="0"/>
        </w:rPr>
        <w:t xml:space="preserve">Dans un contexte de digitalisation croissante et de menaces cyber de plus en plus sophistiquées, la mise en place d’une politique de sécurité informatique est une obligation stratégique et réglementaire. L’article 32 du RGPD impose notamment aux responsables de traitement de mettre en œuvre des mesures de sécurité appropriées. De plus, l’ANSSI recommande des dispositifs adaptés à la taille, aux risques et aux enjeux propres à chaque organisation. Cette politique s’inscrit dans cette logique de conformité et de protection proactive.</w:t>
      </w:r>
    </w:p>
    <w:p w:rsidR="00000000" w:rsidDel="00000000" w:rsidP="00000000" w:rsidRDefault="00000000" w:rsidRPr="00000000" w14:paraId="0000001A">
      <w:pPr>
        <w:pStyle w:val="Heading2"/>
        <w:spacing w:after="80" w:before="360" w:line="276" w:lineRule="auto"/>
        <w:ind w:left="0" w:firstLine="0"/>
        <w:rPr>
          <w:color w:val="000000"/>
          <w:sz w:val="34"/>
          <w:szCs w:val="34"/>
        </w:rPr>
      </w:pPr>
      <w:bookmarkStart w:colFirst="0" w:colLast="0" w:name="_eituk68j6nim" w:id="10"/>
      <w:bookmarkEnd w:id="10"/>
      <w:r w:rsidDel="00000000" w:rsidR="00000000" w:rsidRPr="00000000">
        <w:rPr>
          <w:color w:val="000000"/>
          <w:sz w:val="34"/>
          <w:szCs w:val="34"/>
          <w:rtl w:val="0"/>
        </w:rPr>
        <w:t xml:space="preserve">1. Objectifs de la politique</w:t>
      </w:r>
    </w:p>
    <w:p w:rsidR="00000000" w:rsidDel="00000000" w:rsidP="00000000" w:rsidRDefault="00000000" w:rsidRPr="00000000" w14:paraId="0000001B">
      <w:pPr>
        <w:spacing w:after="240" w:before="240" w:lineRule="auto"/>
        <w:rPr/>
      </w:pPr>
      <w:r w:rsidDel="00000000" w:rsidR="00000000" w:rsidRPr="00000000">
        <w:rPr>
          <w:rtl w:val="0"/>
        </w:rPr>
        <w:t xml:space="preserve">L’objectif principal de cette politique est de garantir la </w:t>
      </w:r>
      <w:r w:rsidDel="00000000" w:rsidR="00000000" w:rsidRPr="00000000">
        <w:rPr>
          <w:b w:val="1"/>
          <w:rtl w:val="0"/>
        </w:rPr>
        <w:t xml:space="preserve">confidentialité</w:t>
      </w:r>
      <w:r w:rsidDel="00000000" w:rsidR="00000000" w:rsidRPr="00000000">
        <w:rPr>
          <w:rtl w:val="0"/>
        </w:rPr>
        <w:t xml:space="preserve">, l’</w:t>
      </w:r>
      <w:r w:rsidDel="00000000" w:rsidR="00000000" w:rsidRPr="00000000">
        <w:rPr>
          <w:b w:val="1"/>
          <w:rtl w:val="0"/>
        </w:rPr>
        <w:t xml:space="preserve">intégrité</w:t>
      </w:r>
      <w:r w:rsidDel="00000000" w:rsidR="00000000" w:rsidRPr="00000000">
        <w:rPr>
          <w:rtl w:val="0"/>
        </w:rPr>
        <w:t xml:space="preserve"> et la </w:t>
      </w:r>
      <w:r w:rsidDel="00000000" w:rsidR="00000000" w:rsidRPr="00000000">
        <w:rPr>
          <w:b w:val="1"/>
          <w:rtl w:val="0"/>
        </w:rPr>
        <w:t xml:space="preserve">disponibilité</w:t>
      </w:r>
      <w:r w:rsidDel="00000000" w:rsidR="00000000" w:rsidRPr="00000000">
        <w:rPr>
          <w:rtl w:val="0"/>
        </w:rPr>
        <w:t xml:space="preserve"> des systèmes d'information et des données de [Nom de l’entreprise]. Elle permet de réduire les risques liés à l’utilisation des technologies numériques, qu’ils soient d’origine humaine (erreurs, négligences), technique (panne, faille) ou malveillante (intrusion, vol, fraude). Elle fixe un cadre clair pour responsabiliser les collaborateurs, harmoniser les pratiques et anticiper les crises potentielles.</w:t>
      </w:r>
    </w:p>
    <w:p w:rsidR="00000000" w:rsidDel="00000000" w:rsidP="00000000" w:rsidRDefault="00000000" w:rsidRPr="00000000" w14:paraId="0000001C">
      <w:pPr>
        <w:pStyle w:val="Heading2"/>
        <w:spacing w:after="80" w:before="360" w:line="276" w:lineRule="auto"/>
        <w:ind w:left="0" w:firstLine="0"/>
        <w:rPr>
          <w:color w:val="000000"/>
          <w:sz w:val="34"/>
          <w:szCs w:val="34"/>
        </w:rPr>
      </w:pPr>
      <w:bookmarkStart w:colFirst="0" w:colLast="0" w:name="_ix2z9irjt0md" w:id="11"/>
      <w:bookmarkEnd w:id="11"/>
      <w:r w:rsidDel="00000000" w:rsidR="00000000" w:rsidRPr="00000000">
        <w:rPr>
          <w:color w:val="000000"/>
          <w:sz w:val="34"/>
          <w:szCs w:val="34"/>
          <w:rtl w:val="0"/>
        </w:rPr>
        <w:t xml:space="preserve">2. Champ d’application</w:t>
      </w:r>
    </w:p>
    <w:p w:rsidR="00000000" w:rsidDel="00000000" w:rsidP="00000000" w:rsidRDefault="00000000" w:rsidRPr="00000000" w14:paraId="0000001D">
      <w:pPr>
        <w:spacing w:after="240" w:before="240" w:lineRule="auto"/>
        <w:rPr/>
      </w:pPr>
      <w:r w:rsidDel="00000000" w:rsidR="00000000" w:rsidRPr="00000000">
        <w:rPr>
          <w:rtl w:val="0"/>
        </w:rPr>
        <w:t xml:space="preserve">Cette politique s’applique à l’ensemble des utilisateurs internes et externes qui accèdent ou manipulent les ressources informatiques de l’entreprise. Sont concernés :</w:t>
      </w:r>
    </w:p>
    <w:p w:rsidR="00000000" w:rsidDel="00000000" w:rsidP="00000000" w:rsidRDefault="00000000" w:rsidRPr="00000000" w14:paraId="0000001E">
      <w:pPr>
        <w:numPr>
          <w:ilvl w:val="0"/>
          <w:numId w:val="2"/>
        </w:numPr>
        <w:spacing w:after="0" w:afterAutospacing="0" w:before="240" w:lineRule="auto"/>
        <w:ind w:left="720" w:hanging="360"/>
        <w:jc w:val="left"/>
      </w:pPr>
      <w:r w:rsidDel="00000000" w:rsidR="00000000" w:rsidRPr="00000000">
        <w:rPr>
          <w:rtl w:val="0"/>
        </w:rPr>
        <w:t xml:space="preserve">Les employés, quelle que soit leur fonction ou ancienneté</w:t>
        <w:br w:type="textWrapping"/>
      </w:r>
    </w:p>
    <w:p w:rsidR="00000000" w:rsidDel="00000000" w:rsidP="00000000" w:rsidRDefault="00000000" w:rsidRPr="00000000" w14:paraId="0000001F">
      <w:pPr>
        <w:numPr>
          <w:ilvl w:val="0"/>
          <w:numId w:val="2"/>
        </w:numPr>
        <w:spacing w:after="0" w:afterAutospacing="0" w:before="0" w:beforeAutospacing="0" w:lineRule="auto"/>
        <w:ind w:left="720" w:hanging="360"/>
        <w:jc w:val="left"/>
      </w:pPr>
      <w:r w:rsidDel="00000000" w:rsidR="00000000" w:rsidRPr="00000000">
        <w:rPr>
          <w:rtl w:val="0"/>
        </w:rPr>
        <w:t xml:space="preserve">Les sous-traitants et prestataires techniques</w:t>
        <w:br w:type="textWrapping"/>
      </w:r>
    </w:p>
    <w:p w:rsidR="00000000" w:rsidDel="00000000" w:rsidP="00000000" w:rsidRDefault="00000000" w:rsidRPr="00000000" w14:paraId="00000020">
      <w:pPr>
        <w:numPr>
          <w:ilvl w:val="0"/>
          <w:numId w:val="2"/>
        </w:numPr>
        <w:spacing w:after="0" w:afterAutospacing="0" w:before="0" w:beforeAutospacing="0" w:lineRule="auto"/>
        <w:ind w:left="720" w:hanging="360"/>
        <w:jc w:val="left"/>
      </w:pPr>
      <w:r w:rsidDel="00000000" w:rsidR="00000000" w:rsidRPr="00000000">
        <w:rPr>
          <w:rtl w:val="0"/>
        </w:rPr>
        <w:t xml:space="preserve">Les partenaires accédant aux systèmes via des interfaces dédiées</w:t>
        <w:br w:type="textWrapping"/>
      </w:r>
    </w:p>
    <w:p w:rsidR="00000000" w:rsidDel="00000000" w:rsidP="00000000" w:rsidRDefault="00000000" w:rsidRPr="00000000" w14:paraId="00000021">
      <w:pPr>
        <w:numPr>
          <w:ilvl w:val="0"/>
          <w:numId w:val="2"/>
        </w:numPr>
        <w:spacing w:after="0" w:afterAutospacing="0" w:before="0" w:beforeAutospacing="0" w:lineRule="auto"/>
        <w:ind w:left="720" w:hanging="360"/>
        <w:jc w:val="left"/>
      </w:pPr>
      <w:r w:rsidDel="00000000" w:rsidR="00000000" w:rsidRPr="00000000">
        <w:rPr>
          <w:rtl w:val="0"/>
        </w:rPr>
        <w:t xml:space="preserve">Les équipements informatiques (ordinateurs, serveurs, smartphones, imprimantes)</w:t>
        <w:br w:type="textWrapping"/>
      </w:r>
    </w:p>
    <w:p w:rsidR="00000000" w:rsidDel="00000000" w:rsidP="00000000" w:rsidRDefault="00000000" w:rsidRPr="00000000" w14:paraId="00000022">
      <w:pPr>
        <w:numPr>
          <w:ilvl w:val="0"/>
          <w:numId w:val="2"/>
        </w:numPr>
        <w:spacing w:after="0" w:afterAutospacing="0" w:before="0" w:beforeAutospacing="0" w:lineRule="auto"/>
        <w:ind w:left="720" w:hanging="360"/>
        <w:jc w:val="left"/>
      </w:pPr>
      <w:r w:rsidDel="00000000" w:rsidR="00000000" w:rsidRPr="00000000">
        <w:rPr>
          <w:rtl w:val="0"/>
        </w:rPr>
        <w:t xml:space="preserve">Les infrastructures réseau (LAN, VPN, Wi-Fi…)</w:t>
        <w:br w:type="textWrapping"/>
      </w:r>
    </w:p>
    <w:p w:rsidR="00000000" w:rsidDel="00000000" w:rsidP="00000000" w:rsidRDefault="00000000" w:rsidRPr="00000000" w14:paraId="00000023">
      <w:pPr>
        <w:numPr>
          <w:ilvl w:val="0"/>
          <w:numId w:val="2"/>
        </w:numPr>
        <w:spacing w:after="240" w:before="0" w:beforeAutospacing="0" w:lineRule="auto"/>
        <w:ind w:left="720" w:hanging="360"/>
        <w:jc w:val="left"/>
      </w:pPr>
      <w:r w:rsidDel="00000000" w:rsidR="00000000" w:rsidRPr="00000000">
        <w:rPr>
          <w:rtl w:val="0"/>
        </w:rPr>
        <w:t xml:space="preserve">Les données, systèmes applicatifs et plateformes cloud utilisés dans le cadre professionnel</w:t>
        <w:br w:type="textWrapping"/>
      </w:r>
    </w:p>
    <w:p w:rsidR="00000000" w:rsidDel="00000000" w:rsidP="00000000" w:rsidRDefault="00000000" w:rsidRPr="00000000" w14:paraId="00000024">
      <w:pPr>
        <w:pStyle w:val="Heading2"/>
        <w:spacing w:after="80" w:before="360" w:line="276" w:lineRule="auto"/>
        <w:ind w:left="0" w:firstLine="0"/>
        <w:rPr>
          <w:color w:val="000000"/>
          <w:sz w:val="34"/>
          <w:szCs w:val="34"/>
        </w:rPr>
      </w:pPr>
      <w:bookmarkStart w:colFirst="0" w:colLast="0" w:name="_yjswpew435e8" w:id="12"/>
      <w:bookmarkEnd w:id="12"/>
      <w:r w:rsidDel="00000000" w:rsidR="00000000" w:rsidRPr="00000000">
        <w:rPr>
          <w:color w:val="000000"/>
          <w:sz w:val="34"/>
          <w:szCs w:val="34"/>
          <w:rtl w:val="0"/>
        </w:rPr>
        <w:t xml:space="preserve">3. Rôles et responsabilités</w:t>
      </w:r>
    </w:p>
    <w:p w:rsidR="00000000" w:rsidDel="00000000" w:rsidP="00000000" w:rsidRDefault="00000000" w:rsidRPr="00000000" w14:paraId="00000025">
      <w:pPr>
        <w:spacing w:after="240" w:before="240" w:lineRule="auto"/>
        <w:rPr/>
      </w:pPr>
      <w:r w:rsidDel="00000000" w:rsidR="00000000" w:rsidRPr="00000000">
        <w:rPr>
          <w:rtl w:val="0"/>
        </w:rPr>
        <w:t xml:space="preserve">La sécurité informatique est une responsabilité partagée. Sa mise en œuvre repose sur une gouvernance claire :</w:t>
      </w:r>
    </w:p>
    <w:p w:rsidR="00000000" w:rsidDel="00000000" w:rsidP="00000000" w:rsidRDefault="00000000" w:rsidRPr="00000000" w14:paraId="00000026">
      <w:pPr>
        <w:numPr>
          <w:ilvl w:val="0"/>
          <w:numId w:val="1"/>
        </w:numPr>
        <w:spacing w:after="0" w:afterAutospacing="0" w:before="240" w:lineRule="auto"/>
        <w:ind w:left="720" w:hanging="360"/>
        <w:jc w:val="left"/>
      </w:pPr>
      <w:r w:rsidDel="00000000" w:rsidR="00000000" w:rsidRPr="00000000">
        <w:rPr>
          <w:b w:val="1"/>
          <w:rtl w:val="0"/>
        </w:rPr>
        <w:t xml:space="preserve">Le Responsable de la Sécurité des Systèmes d’Information (RSSI)</w:t>
      </w:r>
      <w:r w:rsidDel="00000000" w:rsidR="00000000" w:rsidRPr="00000000">
        <w:rPr>
          <w:rtl w:val="0"/>
        </w:rPr>
        <w:t xml:space="preserve"> définit la politique, coordonne les actions, pilote les audits et veille à la conformité.</w:t>
        <w:br w:type="textWrapping"/>
      </w:r>
    </w:p>
    <w:p w:rsidR="00000000" w:rsidDel="00000000" w:rsidP="00000000" w:rsidRDefault="00000000" w:rsidRPr="00000000" w14:paraId="00000027">
      <w:pPr>
        <w:numPr>
          <w:ilvl w:val="0"/>
          <w:numId w:val="1"/>
        </w:numPr>
        <w:spacing w:after="0" w:afterAutospacing="0" w:before="0" w:beforeAutospacing="0" w:lineRule="auto"/>
        <w:ind w:left="720" w:hanging="360"/>
        <w:jc w:val="left"/>
      </w:pPr>
      <w:r w:rsidDel="00000000" w:rsidR="00000000" w:rsidRPr="00000000">
        <w:rPr>
          <w:b w:val="1"/>
          <w:rtl w:val="0"/>
        </w:rPr>
        <w:t xml:space="preserve">La Direction des Systèmes d’Information (DSI)</w:t>
      </w:r>
      <w:r w:rsidDel="00000000" w:rsidR="00000000" w:rsidRPr="00000000">
        <w:rPr>
          <w:rtl w:val="0"/>
        </w:rPr>
        <w:t xml:space="preserve"> applique les mesures techniques, supervise les infrastructures et intervient en cas d’incident.</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jc w:val="left"/>
      </w:pPr>
      <w:r w:rsidDel="00000000" w:rsidR="00000000" w:rsidRPr="00000000">
        <w:rPr>
          <w:b w:val="1"/>
          <w:rtl w:val="0"/>
        </w:rPr>
        <w:t xml:space="preserve">Les managers</w:t>
      </w:r>
      <w:r w:rsidDel="00000000" w:rsidR="00000000" w:rsidRPr="00000000">
        <w:rPr>
          <w:rtl w:val="0"/>
        </w:rPr>
        <w:t xml:space="preserve"> sont garants de l’application des règles par leurs équipes et relais des messages de sensibilisation.</w:t>
        <w:br w:type="textWrapping"/>
      </w:r>
    </w:p>
    <w:p w:rsidR="00000000" w:rsidDel="00000000" w:rsidP="00000000" w:rsidRDefault="00000000" w:rsidRPr="00000000" w14:paraId="00000029">
      <w:pPr>
        <w:numPr>
          <w:ilvl w:val="0"/>
          <w:numId w:val="1"/>
        </w:numPr>
        <w:spacing w:after="240" w:before="0" w:beforeAutospacing="0" w:lineRule="auto"/>
        <w:ind w:left="720" w:hanging="360"/>
        <w:jc w:val="left"/>
      </w:pPr>
      <w:r w:rsidDel="00000000" w:rsidR="00000000" w:rsidRPr="00000000">
        <w:rPr>
          <w:b w:val="1"/>
          <w:rtl w:val="0"/>
        </w:rPr>
        <w:t xml:space="preserve">Chaque utilisateur</w:t>
      </w:r>
      <w:r w:rsidDel="00000000" w:rsidR="00000000" w:rsidRPr="00000000">
        <w:rPr>
          <w:rtl w:val="0"/>
        </w:rPr>
        <w:t xml:space="preserve"> est responsable de ses actes numériques et doit signaler toute situation suspecte.</w:t>
        <w:br w:type="textWrapping"/>
      </w:r>
    </w:p>
    <w:p w:rsidR="00000000" w:rsidDel="00000000" w:rsidP="00000000" w:rsidRDefault="00000000" w:rsidRPr="00000000" w14:paraId="0000002A">
      <w:pPr>
        <w:pStyle w:val="Heading2"/>
        <w:spacing w:after="80" w:before="360" w:line="276" w:lineRule="auto"/>
        <w:ind w:left="0" w:firstLine="0"/>
        <w:rPr>
          <w:color w:val="000000"/>
          <w:sz w:val="34"/>
          <w:szCs w:val="34"/>
        </w:rPr>
      </w:pPr>
      <w:bookmarkStart w:colFirst="0" w:colLast="0" w:name="_5w2ivvk3bdp" w:id="13"/>
      <w:bookmarkEnd w:id="13"/>
      <w:r w:rsidDel="00000000" w:rsidR="00000000" w:rsidRPr="00000000">
        <w:rPr>
          <w:color w:val="000000"/>
          <w:sz w:val="34"/>
          <w:szCs w:val="34"/>
          <w:rtl w:val="0"/>
        </w:rPr>
        <w:t xml:space="preserve">4. Contrôle des accès</w:t>
      </w:r>
    </w:p>
    <w:p w:rsidR="00000000" w:rsidDel="00000000" w:rsidP="00000000" w:rsidRDefault="00000000" w:rsidRPr="00000000" w14:paraId="0000002B">
      <w:pPr>
        <w:spacing w:after="240" w:before="240" w:lineRule="auto"/>
        <w:rPr/>
      </w:pPr>
      <w:r w:rsidDel="00000000" w:rsidR="00000000" w:rsidRPr="00000000">
        <w:rPr>
          <w:rtl w:val="0"/>
        </w:rPr>
        <w:t xml:space="preserve">L'accès aux ressources informatiques doit être strictement encadré selon le principe du </w:t>
      </w:r>
      <w:r w:rsidDel="00000000" w:rsidR="00000000" w:rsidRPr="00000000">
        <w:rPr>
          <w:b w:val="1"/>
          <w:rtl w:val="0"/>
        </w:rPr>
        <w:t xml:space="preserve">moindre privilège</w:t>
      </w:r>
      <w:r w:rsidDel="00000000" w:rsidR="00000000" w:rsidRPr="00000000">
        <w:rPr>
          <w:rtl w:val="0"/>
        </w:rPr>
        <w:t xml:space="preserve">. Cela implique :</w:t>
      </w:r>
    </w:p>
    <w:p w:rsidR="00000000" w:rsidDel="00000000" w:rsidP="00000000" w:rsidRDefault="00000000" w:rsidRPr="00000000" w14:paraId="0000002C">
      <w:pPr>
        <w:numPr>
          <w:ilvl w:val="0"/>
          <w:numId w:val="7"/>
        </w:numPr>
        <w:spacing w:after="0" w:afterAutospacing="0" w:before="240" w:lineRule="auto"/>
        <w:ind w:left="720" w:hanging="360"/>
        <w:jc w:val="left"/>
      </w:pPr>
      <w:r w:rsidDel="00000000" w:rsidR="00000000" w:rsidRPr="00000000">
        <w:rPr>
          <w:rtl w:val="0"/>
        </w:rPr>
        <w:t xml:space="preserve">L’attribution des droits en fonction des besoins réels des utilisateurs</w:t>
        <w:br w:type="textWrapping"/>
      </w:r>
    </w:p>
    <w:p w:rsidR="00000000" w:rsidDel="00000000" w:rsidP="00000000" w:rsidRDefault="00000000" w:rsidRPr="00000000" w14:paraId="0000002D">
      <w:pPr>
        <w:numPr>
          <w:ilvl w:val="0"/>
          <w:numId w:val="7"/>
        </w:numPr>
        <w:spacing w:after="0" w:afterAutospacing="0" w:before="0" w:beforeAutospacing="0" w:lineRule="auto"/>
        <w:ind w:left="720" w:hanging="360"/>
        <w:jc w:val="left"/>
      </w:pPr>
      <w:r w:rsidDel="00000000" w:rsidR="00000000" w:rsidRPr="00000000">
        <w:rPr>
          <w:rtl w:val="0"/>
        </w:rPr>
        <w:t xml:space="preserve">L’utilisation d’identifiants nominatifs et de mots de passe robustes</w:t>
        <w:br w:type="textWrapping"/>
      </w:r>
    </w:p>
    <w:p w:rsidR="00000000" w:rsidDel="00000000" w:rsidP="00000000" w:rsidRDefault="00000000" w:rsidRPr="00000000" w14:paraId="0000002E">
      <w:pPr>
        <w:numPr>
          <w:ilvl w:val="0"/>
          <w:numId w:val="7"/>
        </w:numPr>
        <w:spacing w:after="0" w:afterAutospacing="0" w:before="0" w:beforeAutospacing="0" w:lineRule="auto"/>
        <w:ind w:left="720" w:hanging="360"/>
        <w:jc w:val="left"/>
      </w:pPr>
      <w:r w:rsidDel="00000000" w:rsidR="00000000" w:rsidRPr="00000000">
        <w:rPr>
          <w:rtl w:val="0"/>
        </w:rPr>
        <w:t xml:space="preserve">La mise en place d’une authentification à deux facteurs (MFA) sur les accès sensibles</w:t>
        <w:br w:type="textWrapping"/>
      </w:r>
    </w:p>
    <w:p w:rsidR="00000000" w:rsidDel="00000000" w:rsidP="00000000" w:rsidRDefault="00000000" w:rsidRPr="00000000" w14:paraId="0000002F">
      <w:pPr>
        <w:numPr>
          <w:ilvl w:val="0"/>
          <w:numId w:val="7"/>
        </w:numPr>
        <w:spacing w:after="240" w:before="0" w:beforeAutospacing="0" w:lineRule="auto"/>
        <w:ind w:left="720" w:hanging="360"/>
        <w:jc w:val="left"/>
      </w:pPr>
      <w:r w:rsidDel="00000000" w:rsidR="00000000" w:rsidRPr="00000000">
        <w:rPr>
          <w:rtl w:val="0"/>
        </w:rPr>
        <w:t xml:space="preserve">La désactivation immédiate des comptes inactifs ou en cas de départ d’un collaborateur</w:t>
        <w:br w:type="textWrapping"/>
      </w:r>
    </w:p>
    <w:p w:rsidR="00000000" w:rsidDel="00000000" w:rsidP="00000000" w:rsidRDefault="00000000" w:rsidRPr="00000000" w14:paraId="00000030">
      <w:pPr>
        <w:spacing w:after="240" w:before="240" w:lineRule="auto"/>
        <w:rPr/>
      </w:pPr>
      <w:r w:rsidDel="00000000" w:rsidR="00000000" w:rsidRPr="00000000">
        <w:rPr>
          <w:rtl w:val="0"/>
        </w:rPr>
        <w:t xml:space="preserve">Des journaux de connexion sont conservés à des fins de traçabilité et d’analyse en cas d’incident.</w:t>
      </w:r>
    </w:p>
    <w:p w:rsidR="00000000" w:rsidDel="00000000" w:rsidP="00000000" w:rsidRDefault="00000000" w:rsidRPr="00000000" w14:paraId="00000031">
      <w:pPr>
        <w:pStyle w:val="Heading2"/>
        <w:spacing w:after="80" w:before="360" w:line="276" w:lineRule="auto"/>
        <w:ind w:left="0" w:firstLine="0"/>
        <w:rPr>
          <w:color w:val="000000"/>
          <w:sz w:val="34"/>
          <w:szCs w:val="34"/>
        </w:rPr>
      </w:pPr>
      <w:bookmarkStart w:colFirst="0" w:colLast="0" w:name="_ry36v4x0tcv1" w:id="14"/>
      <w:bookmarkEnd w:id="14"/>
      <w:r w:rsidDel="00000000" w:rsidR="00000000" w:rsidRPr="00000000">
        <w:rPr>
          <w:color w:val="000000"/>
          <w:sz w:val="34"/>
          <w:szCs w:val="34"/>
          <w:rtl w:val="0"/>
        </w:rPr>
        <w:t xml:space="preserve">5. Protection des équipements</w:t>
      </w:r>
    </w:p>
    <w:p w:rsidR="00000000" w:rsidDel="00000000" w:rsidP="00000000" w:rsidRDefault="00000000" w:rsidRPr="00000000" w14:paraId="00000032">
      <w:pPr>
        <w:spacing w:after="240" w:before="240" w:lineRule="auto"/>
        <w:rPr/>
      </w:pPr>
      <w:r w:rsidDel="00000000" w:rsidR="00000000" w:rsidRPr="00000000">
        <w:rPr>
          <w:rtl w:val="0"/>
        </w:rPr>
        <w:t xml:space="preserve">Les équipements informatiques, qu’ils soient fixes ou mobiles, doivent être sécurisés pour éviter toute compromission :</w:t>
      </w:r>
    </w:p>
    <w:p w:rsidR="00000000" w:rsidDel="00000000" w:rsidP="00000000" w:rsidRDefault="00000000" w:rsidRPr="00000000" w14:paraId="00000033">
      <w:pPr>
        <w:numPr>
          <w:ilvl w:val="0"/>
          <w:numId w:val="6"/>
        </w:numPr>
        <w:spacing w:after="0" w:afterAutospacing="0" w:before="240" w:lineRule="auto"/>
        <w:ind w:left="720" w:hanging="360"/>
        <w:jc w:val="left"/>
      </w:pPr>
      <w:r w:rsidDel="00000000" w:rsidR="00000000" w:rsidRPr="00000000">
        <w:rPr>
          <w:rtl w:val="0"/>
        </w:rPr>
        <w:t xml:space="preserve">Installation et mise à jour régulière d’un antivirus et d’un pare-feu</w:t>
        <w:br w:type="textWrapping"/>
      </w:r>
    </w:p>
    <w:p w:rsidR="00000000" w:rsidDel="00000000" w:rsidP="00000000" w:rsidRDefault="00000000" w:rsidRPr="00000000" w14:paraId="00000034">
      <w:pPr>
        <w:numPr>
          <w:ilvl w:val="0"/>
          <w:numId w:val="6"/>
        </w:numPr>
        <w:spacing w:after="0" w:afterAutospacing="0" w:before="0" w:beforeAutospacing="0" w:lineRule="auto"/>
        <w:ind w:left="720" w:hanging="360"/>
        <w:jc w:val="left"/>
      </w:pPr>
      <w:r w:rsidDel="00000000" w:rsidR="00000000" w:rsidRPr="00000000">
        <w:rPr>
          <w:rtl w:val="0"/>
        </w:rPr>
        <w:t xml:space="preserve">Chiffrement des disques durs des ordinateurs portables et mobiles</w:t>
        <w:br w:type="textWrapping"/>
      </w:r>
    </w:p>
    <w:p w:rsidR="00000000" w:rsidDel="00000000" w:rsidP="00000000" w:rsidRDefault="00000000" w:rsidRPr="00000000" w14:paraId="00000035">
      <w:pPr>
        <w:numPr>
          <w:ilvl w:val="0"/>
          <w:numId w:val="6"/>
        </w:numPr>
        <w:spacing w:after="0" w:afterAutospacing="0" w:before="0" w:beforeAutospacing="0" w:lineRule="auto"/>
        <w:ind w:left="720" w:hanging="360"/>
        <w:jc w:val="left"/>
      </w:pPr>
      <w:r w:rsidDel="00000000" w:rsidR="00000000" w:rsidRPr="00000000">
        <w:rPr>
          <w:rtl w:val="0"/>
        </w:rPr>
        <w:t xml:space="preserve">Blocage des ports USB non autorisés</w:t>
        <w:br w:type="textWrapping"/>
      </w:r>
    </w:p>
    <w:p w:rsidR="00000000" w:rsidDel="00000000" w:rsidP="00000000" w:rsidRDefault="00000000" w:rsidRPr="00000000" w14:paraId="00000036">
      <w:pPr>
        <w:numPr>
          <w:ilvl w:val="0"/>
          <w:numId w:val="6"/>
        </w:numPr>
        <w:spacing w:after="240" w:before="0" w:beforeAutospacing="0" w:lineRule="auto"/>
        <w:ind w:left="720" w:hanging="360"/>
        <w:jc w:val="left"/>
      </w:pPr>
      <w:r w:rsidDel="00000000" w:rsidR="00000000" w:rsidRPr="00000000">
        <w:rPr>
          <w:rtl w:val="0"/>
        </w:rPr>
        <w:t xml:space="preserve">Mises à jour automatiques des systèmes d’exploitation et logiciels installés</w:t>
        <w:br w:type="textWrapping"/>
      </w:r>
    </w:p>
    <w:p w:rsidR="00000000" w:rsidDel="00000000" w:rsidP="00000000" w:rsidRDefault="00000000" w:rsidRPr="00000000" w14:paraId="00000037">
      <w:pPr>
        <w:spacing w:after="240" w:before="240" w:lineRule="auto"/>
        <w:rPr/>
      </w:pPr>
      <w:r w:rsidDel="00000000" w:rsidR="00000000" w:rsidRPr="00000000">
        <w:rPr>
          <w:rtl w:val="0"/>
        </w:rPr>
        <w:t xml:space="preserve">Toute connexion d’un matériel personnel (BYOD) doit être validée par la DSI.</w:t>
      </w:r>
    </w:p>
    <w:p w:rsidR="00000000" w:rsidDel="00000000" w:rsidP="00000000" w:rsidRDefault="00000000" w:rsidRPr="00000000" w14:paraId="00000038">
      <w:pPr>
        <w:pStyle w:val="Heading2"/>
        <w:spacing w:after="80" w:before="360" w:line="276" w:lineRule="auto"/>
        <w:ind w:left="0" w:firstLine="0"/>
        <w:rPr>
          <w:color w:val="000000"/>
          <w:sz w:val="34"/>
          <w:szCs w:val="34"/>
        </w:rPr>
      </w:pPr>
      <w:bookmarkStart w:colFirst="0" w:colLast="0" w:name="_h3hrjsg7tj77" w:id="15"/>
      <w:bookmarkEnd w:id="15"/>
      <w:r w:rsidDel="00000000" w:rsidR="00000000" w:rsidRPr="00000000">
        <w:rPr>
          <w:color w:val="000000"/>
          <w:sz w:val="34"/>
          <w:szCs w:val="34"/>
          <w:rtl w:val="0"/>
        </w:rPr>
        <w:t xml:space="preserve">6. Sécurité des données</w:t>
      </w:r>
    </w:p>
    <w:p w:rsidR="00000000" w:rsidDel="00000000" w:rsidP="00000000" w:rsidRDefault="00000000" w:rsidRPr="00000000" w14:paraId="00000039">
      <w:pPr>
        <w:spacing w:after="240" w:before="240" w:lineRule="auto"/>
        <w:rPr/>
      </w:pPr>
      <w:r w:rsidDel="00000000" w:rsidR="00000000" w:rsidRPr="00000000">
        <w:rPr>
          <w:rtl w:val="0"/>
        </w:rPr>
        <w:t xml:space="preserve">La protection des données, notamment à caractère personnel ou stratégique, est une priorité :</w:t>
      </w:r>
    </w:p>
    <w:p w:rsidR="00000000" w:rsidDel="00000000" w:rsidP="00000000" w:rsidRDefault="00000000" w:rsidRPr="00000000" w14:paraId="0000003A">
      <w:pPr>
        <w:numPr>
          <w:ilvl w:val="0"/>
          <w:numId w:val="4"/>
        </w:numPr>
        <w:spacing w:after="0" w:afterAutospacing="0" w:before="240" w:lineRule="auto"/>
        <w:ind w:left="720" w:hanging="360"/>
        <w:jc w:val="left"/>
      </w:pPr>
      <w:r w:rsidDel="00000000" w:rsidR="00000000" w:rsidRPr="00000000">
        <w:rPr>
          <w:rtl w:val="0"/>
        </w:rPr>
        <w:t xml:space="preserve">Des </w:t>
      </w:r>
      <w:r w:rsidDel="00000000" w:rsidR="00000000" w:rsidRPr="00000000">
        <w:rPr>
          <w:b w:val="1"/>
          <w:rtl w:val="0"/>
        </w:rPr>
        <w:t xml:space="preserve">sauvegardes automatiques et chiffrées</w:t>
      </w:r>
      <w:r w:rsidDel="00000000" w:rsidR="00000000" w:rsidRPr="00000000">
        <w:rPr>
          <w:rtl w:val="0"/>
        </w:rPr>
        <w:t xml:space="preserve"> sont effectuées quotidiennement</w:t>
        <w:br w:type="textWrapping"/>
      </w:r>
    </w:p>
    <w:p w:rsidR="00000000" w:rsidDel="00000000" w:rsidP="00000000" w:rsidRDefault="00000000" w:rsidRPr="00000000" w14:paraId="0000003B">
      <w:pPr>
        <w:numPr>
          <w:ilvl w:val="0"/>
          <w:numId w:val="4"/>
        </w:numPr>
        <w:spacing w:after="0" w:afterAutospacing="0" w:before="0" w:beforeAutospacing="0" w:lineRule="auto"/>
        <w:ind w:left="720" w:hanging="360"/>
        <w:jc w:val="left"/>
      </w:pPr>
      <w:r w:rsidDel="00000000" w:rsidR="00000000" w:rsidRPr="00000000">
        <w:rPr>
          <w:rtl w:val="0"/>
        </w:rPr>
        <w:t xml:space="preserve">Les données sensibles sont stockées sur des serveurs sécurisés, avec accès restreint</w:t>
        <w:br w:type="textWrapping"/>
      </w:r>
    </w:p>
    <w:p w:rsidR="00000000" w:rsidDel="00000000" w:rsidP="00000000" w:rsidRDefault="00000000" w:rsidRPr="00000000" w14:paraId="0000003C">
      <w:pPr>
        <w:numPr>
          <w:ilvl w:val="0"/>
          <w:numId w:val="4"/>
        </w:numPr>
        <w:spacing w:after="0" w:afterAutospacing="0" w:before="0" w:beforeAutospacing="0" w:lineRule="auto"/>
        <w:ind w:left="720" w:hanging="360"/>
        <w:jc w:val="left"/>
      </w:pPr>
      <w:r w:rsidDel="00000000" w:rsidR="00000000" w:rsidRPr="00000000">
        <w:rPr>
          <w:rtl w:val="0"/>
        </w:rPr>
        <w:t xml:space="preserve">Toute transmission externe (email, cloud, transfert) est soumise à des règles strictes</w:t>
        <w:br w:type="textWrapping"/>
      </w:r>
    </w:p>
    <w:p w:rsidR="00000000" w:rsidDel="00000000" w:rsidP="00000000" w:rsidRDefault="00000000" w:rsidRPr="00000000" w14:paraId="0000003D">
      <w:pPr>
        <w:numPr>
          <w:ilvl w:val="0"/>
          <w:numId w:val="4"/>
        </w:numPr>
        <w:spacing w:after="240" w:before="0" w:beforeAutospacing="0" w:lineRule="auto"/>
        <w:ind w:left="720" w:hanging="360"/>
        <w:jc w:val="left"/>
      </w:pPr>
      <w:r w:rsidDel="00000000" w:rsidR="00000000" w:rsidRPr="00000000">
        <w:rPr>
          <w:rtl w:val="0"/>
        </w:rPr>
        <w:t xml:space="preserve">La conservation des données est limitée dans le temps et encadrée par des procédures de suppression sécurisée</w:t>
        <w:br w:type="textWrapping"/>
      </w:r>
    </w:p>
    <w:p w:rsidR="00000000" w:rsidDel="00000000" w:rsidP="00000000" w:rsidRDefault="00000000" w:rsidRPr="00000000" w14:paraId="0000003E">
      <w:pPr>
        <w:spacing w:after="240" w:before="240" w:lineRule="auto"/>
        <w:rPr/>
      </w:pPr>
      <w:r w:rsidDel="00000000" w:rsidR="00000000" w:rsidRPr="00000000">
        <w:rPr>
          <w:rtl w:val="0"/>
        </w:rPr>
        <w:t xml:space="preserve">L’ensemble est conforme aux exigences du RGPD et aux engagements contractuels de l’entreprise.</w:t>
      </w:r>
    </w:p>
    <w:p w:rsidR="00000000" w:rsidDel="00000000" w:rsidP="00000000" w:rsidRDefault="00000000" w:rsidRPr="00000000" w14:paraId="0000003F">
      <w:pPr>
        <w:pStyle w:val="Heading2"/>
        <w:spacing w:after="80" w:before="360" w:line="276" w:lineRule="auto"/>
        <w:ind w:left="0" w:firstLine="0"/>
        <w:rPr>
          <w:color w:val="000000"/>
          <w:sz w:val="34"/>
          <w:szCs w:val="34"/>
        </w:rPr>
      </w:pPr>
      <w:bookmarkStart w:colFirst="0" w:colLast="0" w:name="_n1xdnnbilxo" w:id="16"/>
      <w:bookmarkEnd w:id="16"/>
      <w:r w:rsidDel="00000000" w:rsidR="00000000" w:rsidRPr="00000000">
        <w:rPr>
          <w:color w:val="000000"/>
          <w:sz w:val="34"/>
          <w:szCs w:val="34"/>
          <w:rtl w:val="0"/>
        </w:rPr>
        <w:t xml:space="preserve">7. Utilisation acceptable</w:t>
      </w:r>
    </w:p>
    <w:p w:rsidR="00000000" w:rsidDel="00000000" w:rsidP="00000000" w:rsidRDefault="00000000" w:rsidRPr="00000000" w14:paraId="00000040">
      <w:pPr>
        <w:spacing w:after="240" w:before="240" w:lineRule="auto"/>
        <w:rPr/>
      </w:pPr>
      <w:r w:rsidDel="00000000" w:rsidR="00000000" w:rsidRPr="00000000">
        <w:rPr>
          <w:rtl w:val="0"/>
        </w:rPr>
        <w:t xml:space="preserve">L’usage des outils informatiques mis à disposition doit rester professionnel, responsable et conforme à la présente politique :</w:t>
      </w:r>
    </w:p>
    <w:p w:rsidR="00000000" w:rsidDel="00000000" w:rsidP="00000000" w:rsidRDefault="00000000" w:rsidRPr="00000000" w14:paraId="00000041">
      <w:pPr>
        <w:numPr>
          <w:ilvl w:val="0"/>
          <w:numId w:val="5"/>
        </w:numPr>
        <w:spacing w:after="0" w:afterAutospacing="0" w:before="240" w:lineRule="auto"/>
        <w:ind w:left="720" w:hanging="360"/>
        <w:jc w:val="left"/>
      </w:pPr>
      <w:r w:rsidDel="00000000" w:rsidR="00000000" w:rsidRPr="00000000">
        <w:rPr>
          <w:rtl w:val="0"/>
        </w:rPr>
        <w:t xml:space="preserve">Il est interdit d’installer des logiciels non validés par la DSI</w:t>
        <w:br w:type="textWrapping"/>
      </w:r>
    </w:p>
    <w:p w:rsidR="00000000" w:rsidDel="00000000" w:rsidP="00000000" w:rsidRDefault="00000000" w:rsidRPr="00000000" w14:paraId="00000042">
      <w:pPr>
        <w:numPr>
          <w:ilvl w:val="0"/>
          <w:numId w:val="5"/>
        </w:numPr>
        <w:spacing w:after="0" w:afterAutospacing="0" w:before="0" w:beforeAutospacing="0" w:lineRule="auto"/>
        <w:ind w:left="720" w:hanging="360"/>
        <w:jc w:val="left"/>
      </w:pPr>
      <w:r w:rsidDel="00000000" w:rsidR="00000000" w:rsidRPr="00000000">
        <w:rPr>
          <w:rtl w:val="0"/>
        </w:rPr>
        <w:t xml:space="preserve">Le téléchargement de contenus illégaux ou non professionnels est prohibé</w:t>
        <w:br w:type="textWrapping"/>
      </w:r>
    </w:p>
    <w:p w:rsidR="00000000" w:rsidDel="00000000" w:rsidP="00000000" w:rsidRDefault="00000000" w:rsidRPr="00000000" w14:paraId="00000043">
      <w:pPr>
        <w:numPr>
          <w:ilvl w:val="0"/>
          <w:numId w:val="5"/>
        </w:numPr>
        <w:spacing w:after="0" w:afterAutospacing="0" w:before="0" w:beforeAutospacing="0" w:lineRule="auto"/>
        <w:ind w:left="720" w:hanging="360"/>
        <w:jc w:val="left"/>
      </w:pPr>
      <w:r w:rsidDel="00000000" w:rsidR="00000000" w:rsidRPr="00000000">
        <w:rPr>
          <w:rtl w:val="0"/>
        </w:rPr>
        <w:t xml:space="preserve">Les e-mails doivent être traités avec précaution (attention aux pièces jointes douteuses)</w:t>
        <w:br w:type="textWrapping"/>
      </w:r>
    </w:p>
    <w:p w:rsidR="00000000" w:rsidDel="00000000" w:rsidP="00000000" w:rsidRDefault="00000000" w:rsidRPr="00000000" w14:paraId="00000044">
      <w:pPr>
        <w:numPr>
          <w:ilvl w:val="0"/>
          <w:numId w:val="5"/>
        </w:numPr>
        <w:spacing w:after="240" w:before="0" w:beforeAutospacing="0" w:lineRule="auto"/>
        <w:ind w:left="720" w:hanging="360"/>
        <w:jc w:val="left"/>
      </w:pPr>
      <w:r w:rsidDel="00000000" w:rsidR="00000000" w:rsidRPr="00000000">
        <w:rPr>
          <w:rtl w:val="0"/>
        </w:rPr>
        <w:t xml:space="preserve">La navigation sur internet doit respecter les règles éthiques et sécuritaires</w:t>
        <w:br w:type="textWrapping"/>
      </w:r>
    </w:p>
    <w:p w:rsidR="00000000" w:rsidDel="00000000" w:rsidP="00000000" w:rsidRDefault="00000000" w:rsidRPr="00000000" w14:paraId="00000045">
      <w:pPr>
        <w:spacing w:after="240" w:before="240" w:lineRule="auto"/>
        <w:rPr/>
      </w:pPr>
      <w:r w:rsidDel="00000000" w:rsidR="00000000" w:rsidRPr="00000000">
        <w:rPr>
          <w:rtl w:val="0"/>
        </w:rPr>
        <w:t xml:space="preserve">Les comportements à risque peuvent entraîner des mesures disciplinaires.</w:t>
      </w:r>
    </w:p>
    <w:p w:rsidR="00000000" w:rsidDel="00000000" w:rsidP="00000000" w:rsidRDefault="00000000" w:rsidRPr="00000000" w14:paraId="00000046">
      <w:pPr>
        <w:pStyle w:val="Heading2"/>
        <w:spacing w:after="80" w:before="360" w:line="276" w:lineRule="auto"/>
        <w:ind w:left="0" w:firstLine="0"/>
        <w:rPr>
          <w:color w:val="000000"/>
          <w:sz w:val="34"/>
          <w:szCs w:val="34"/>
        </w:rPr>
      </w:pPr>
      <w:bookmarkStart w:colFirst="0" w:colLast="0" w:name="_2hzi9e7imr63" w:id="17"/>
      <w:bookmarkEnd w:id="17"/>
      <w:r w:rsidDel="00000000" w:rsidR="00000000" w:rsidRPr="00000000">
        <w:rPr>
          <w:color w:val="000000"/>
          <w:sz w:val="34"/>
          <w:szCs w:val="34"/>
          <w:rtl w:val="0"/>
        </w:rPr>
        <w:t xml:space="preserve">8. Gestion des incidents</w:t>
      </w:r>
    </w:p>
    <w:p w:rsidR="00000000" w:rsidDel="00000000" w:rsidP="00000000" w:rsidRDefault="00000000" w:rsidRPr="00000000" w14:paraId="00000047">
      <w:pPr>
        <w:spacing w:after="240" w:before="240" w:lineRule="auto"/>
        <w:rPr/>
      </w:pPr>
      <w:r w:rsidDel="00000000" w:rsidR="00000000" w:rsidRPr="00000000">
        <w:rPr>
          <w:rtl w:val="0"/>
        </w:rPr>
        <w:t xml:space="preserve">Un </w:t>
      </w:r>
      <w:r w:rsidDel="00000000" w:rsidR="00000000" w:rsidRPr="00000000">
        <w:rPr>
          <w:b w:val="1"/>
          <w:rtl w:val="0"/>
        </w:rPr>
        <w:t xml:space="preserve">incident de sécurité informatique</w:t>
      </w:r>
      <w:r w:rsidDel="00000000" w:rsidR="00000000" w:rsidRPr="00000000">
        <w:rPr>
          <w:rtl w:val="0"/>
        </w:rPr>
        <w:t xml:space="preserve"> est tout événement susceptible de compromettre la sécurité des systèmes (ex. : perte d’équipement, virus, fuite de données).</w:t>
      </w:r>
    </w:p>
    <w:p w:rsidR="00000000" w:rsidDel="00000000" w:rsidP="00000000" w:rsidRDefault="00000000" w:rsidRPr="00000000" w14:paraId="00000048">
      <w:pPr>
        <w:numPr>
          <w:ilvl w:val="0"/>
          <w:numId w:val="3"/>
        </w:numPr>
        <w:spacing w:after="0" w:afterAutospacing="0" w:before="240" w:lineRule="auto"/>
        <w:ind w:left="720" w:hanging="360"/>
        <w:jc w:val="left"/>
      </w:pPr>
      <w:r w:rsidDel="00000000" w:rsidR="00000000" w:rsidRPr="00000000">
        <w:rPr>
          <w:rtl w:val="0"/>
        </w:rPr>
        <w:t xml:space="preserve">Tout incident doit être signalé immédiatement au RSSI ou à la DSI</w:t>
        <w:br w:type="textWrapping"/>
      </w:r>
    </w:p>
    <w:p w:rsidR="00000000" w:rsidDel="00000000" w:rsidP="00000000" w:rsidRDefault="00000000" w:rsidRPr="00000000" w14:paraId="00000049">
      <w:pPr>
        <w:numPr>
          <w:ilvl w:val="0"/>
          <w:numId w:val="3"/>
        </w:numPr>
        <w:spacing w:after="0" w:afterAutospacing="0" w:before="0" w:beforeAutospacing="0" w:lineRule="auto"/>
        <w:ind w:left="720" w:hanging="360"/>
        <w:jc w:val="left"/>
      </w:pPr>
      <w:r w:rsidDel="00000000" w:rsidR="00000000" w:rsidRPr="00000000">
        <w:rPr>
          <w:rtl w:val="0"/>
        </w:rPr>
        <w:t xml:space="preserve">Un </w:t>
      </w:r>
      <w:r w:rsidDel="00000000" w:rsidR="00000000" w:rsidRPr="00000000">
        <w:rPr>
          <w:b w:val="1"/>
          <w:rtl w:val="0"/>
        </w:rPr>
        <w:t xml:space="preserve">plan de réponse</w:t>
      </w:r>
      <w:r w:rsidDel="00000000" w:rsidR="00000000" w:rsidRPr="00000000">
        <w:rPr>
          <w:rtl w:val="0"/>
        </w:rPr>
        <w:t xml:space="preserve"> est déclenché : analyse, containment, remédiation, communication</w:t>
        <w:br w:type="textWrapping"/>
      </w:r>
    </w:p>
    <w:p w:rsidR="00000000" w:rsidDel="00000000" w:rsidP="00000000" w:rsidRDefault="00000000" w:rsidRPr="00000000" w14:paraId="0000004A">
      <w:pPr>
        <w:numPr>
          <w:ilvl w:val="0"/>
          <w:numId w:val="3"/>
        </w:numPr>
        <w:spacing w:after="0" w:afterAutospacing="0" w:before="0" w:beforeAutospacing="0" w:lineRule="auto"/>
        <w:ind w:left="720" w:hanging="360"/>
        <w:jc w:val="left"/>
      </w:pPr>
      <w:r w:rsidDel="00000000" w:rsidR="00000000" w:rsidRPr="00000000">
        <w:rPr>
          <w:rtl w:val="0"/>
        </w:rPr>
        <w:t xml:space="preserve">Si nécessaire, l’entreprise notifie l’incident aux autorités compétentes (CNIL, clients…)</w:t>
        <w:br w:type="textWrapping"/>
      </w:r>
    </w:p>
    <w:p w:rsidR="00000000" w:rsidDel="00000000" w:rsidP="00000000" w:rsidRDefault="00000000" w:rsidRPr="00000000" w14:paraId="0000004B">
      <w:pPr>
        <w:numPr>
          <w:ilvl w:val="0"/>
          <w:numId w:val="3"/>
        </w:numPr>
        <w:spacing w:after="240" w:before="0" w:beforeAutospacing="0" w:lineRule="auto"/>
        <w:ind w:left="720" w:hanging="360"/>
        <w:jc w:val="left"/>
      </w:pPr>
      <w:r w:rsidDel="00000000" w:rsidR="00000000" w:rsidRPr="00000000">
        <w:rPr>
          <w:rtl w:val="0"/>
        </w:rPr>
        <w:t xml:space="preserve">Un retour d’expérience est documenté pour éviter toute récurrence</w:t>
        <w:br w:type="textWrapping"/>
      </w:r>
    </w:p>
    <w:p w:rsidR="00000000" w:rsidDel="00000000" w:rsidP="00000000" w:rsidRDefault="00000000" w:rsidRPr="00000000" w14:paraId="0000004C">
      <w:pPr>
        <w:spacing w:after="240" w:before="240" w:lineRule="auto"/>
        <w:rPr/>
      </w:pPr>
      <w:r w:rsidDel="00000000" w:rsidR="00000000" w:rsidRPr="00000000">
        <w:rPr>
          <w:rtl w:val="0"/>
        </w:rPr>
        <w:t xml:space="preserve">La réactivité est essentielle pour limiter les impacts.</w:t>
      </w:r>
    </w:p>
    <w:p w:rsidR="00000000" w:rsidDel="00000000" w:rsidP="00000000" w:rsidRDefault="00000000" w:rsidRPr="00000000" w14:paraId="0000004D">
      <w:pPr>
        <w:pStyle w:val="Heading2"/>
        <w:spacing w:after="80" w:before="360" w:line="276" w:lineRule="auto"/>
        <w:ind w:left="0" w:firstLine="0"/>
        <w:rPr>
          <w:color w:val="000000"/>
          <w:sz w:val="34"/>
          <w:szCs w:val="34"/>
        </w:rPr>
      </w:pPr>
      <w:bookmarkStart w:colFirst="0" w:colLast="0" w:name="_n952o7f6k5m7" w:id="18"/>
      <w:bookmarkEnd w:id="18"/>
      <w:r w:rsidDel="00000000" w:rsidR="00000000" w:rsidRPr="00000000">
        <w:rPr>
          <w:color w:val="000000"/>
          <w:sz w:val="34"/>
          <w:szCs w:val="34"/>
          <w:rtl w:val="0"/>
        </w:rPr>
        <w:t xml:space="preserve">9. Sensibilisation et formation</w:t>
      </w:r>
    </w:p>
    <w:p w:rsidR="00000000" w:rsidDel="00000000" w:rsidP="00000000" w:rsidRDefault="00000000" w:rsidRPr="00000000" w14:paraId="0000004E">
      <w:pPr>
        <w:spacing w:after="240" w:before="240" w:lineRule="auto"/>
        <w:rPr/>
      </w:pPr>
      <w:r w:rsidDel="00000000" w:rsidR="00000000" w:rsidRPr="00000000">
        <w:rPr>
          <w:rtl w:val="0"/>
        </w:rPr>
        <w:t xml:space="preserve">Les utilisateurs sont la première ligne de défense. La sécurité passe donc par la </w:t>
      </w:r>
      <w:r w:rsidDel="00000000" w:rsidR="00000000" w:rsidRPr="00000000">
        <w:rPr>
          <w:b w:val="1"/>
          <w:rtl w:val="0"/>
        </w:rPr>
        <w:t xml:space="preserve">connaissance des bonnes pratiques</w:t>
      </w:r>
      <w:r w:rsidDel="00000000" w:rsidR="00000000" w:rsidRPr="00000000">
        <w:rPr>
          <w:rtl w:val="0"/>
        </w:rPr>
        <w:t xml:space="preserve"> :</w:t>
      </w:r>
    </w:p>
    <w:p w:rsidR="00000000" w:rsidDel="00000000" w:rsidP="00000000" w:rsidRDefault="00000000" w:rsidRPr="00000000" w14:paraId="0000004F">
      <w:pPr>
        <w:numPr>
          <w:ilvl w:val="0"/>
          <w:numId w:val="9"/>
        </w:numPr>
        <w:spacing w:after="0" w:afterAutospacing="0" w:before="240" w:lineRule="auto"/>
        <w:ind w:left="720" w:hanging="360"/>
        <w:jc w:val="left"/>
      </w:pPr>
      <w:r w:rsidDel="00000000" w:rsidR="00000000" w:rsidRPr="00000000">
        <w:rPr>
          <w:rtl w:val="0"/>
        </w:rPr>
        <w:t xml:space="preserve">Une formation cybersécurité est intégrée au parcours d’onboarding</w:t>
        <w:br w:type="textWrapping"/>
      </w:r>
    </w:p>
    <w:p w:rsidR="00000000" w:rsidDel="00000000" w:rsidP="00000000" w:rsidRDefault="00000000" w:rsidRPr="00000000" w14:paraId="00000050">
      <w:pPr>
        <w:numPr>
          <w:ilvl w:val="0"/>
          <w:numId w:val="9"/>
        </w:numPr>
        <w:spacing w:after="0" w:afterAutospacing="0" w:before="0" w:beforeAutospacing="0" w:lineRule="auto"/>
        <w:ind w:left="720" w:hanging="360"/>
        <w:jc w:val="left"/>
      </w:pPr>
      <w:r w:rsidDel="00000000" w:rsidR="00000000" w:rsidRPr="00000000">
        <w:rPr>
          <w:rtl w:val="0"/>
        </w:rPr>
        <w:t xml:space="preserve">Des sessions annuelles de rappel sont organisées, en présentiel ou e-learning</w:t>
        <w:br w:type="textWrapping"/>
      </w:r>
    </w:p>
    <w:p w:rsidR="00000000" w:rsidDel="00000000" w:rsidP="00000000" w:rsidRDefault="00000000" w:rsidRPr="00000000" w14:paraId="00000051">
      <w:pPr>
        <w:numPr>
          <w:ilvl w:val="0"/>
          <w:numId w:val="9"/>
        </w:numPr>
        <w:spacing w:after="0" w:afterAutospacing="0" w:before="0" w:beforeAutospacing="0" w:lineRule="auto"/>
        <w:ind w:left="720" w:hanging="360"/>
        <w:jc w:val="left"/>
      </w:pPr>
      <w:r w:rsidDel="00000000" w:rsidR="00000000" w:rsidRPr="00000000">
        <w:rPr>
          <w:rtl w:val="0"/>
        </w:rPr>
        <w:t xml:space="preserve">Des campagnes de faux phishing sont menées pour tester la vigilance</w:t>
        <w:br w:type="textWrapping"/>
      </w:r>
    </w:p>
    <w:p w:rsidR="00000000" w:rsidDel="00000000" w:rsidP="00000000" w:rsidRDefault="00000000" w:rsidRPr="00000000" w14:paraId="00000052">
      <w:pPr>
        <w:numPr>
          <w:ilvl w:val="0"/>
          <w:numId w:val="9"/>
        </w:numPr>
        <w:spacing w:after="240" w:before="0" w:beforeAutospacing="0" w:lineRule="auto"/>
        <w:ind w:left="720" w:hanging="360"/>
        <w:jc w:val="left"/>
      </w:pPr>
      <w:r w:rsidDel="00000000" w:rsidR="00000000" w:rsidRPr="00000000">
        <w:rPr>
          <w:rtl w:val="0"/>
        </w:rPr>
        <w:t xml:space="preserve">Des supports de type fiches pratiques sont mis à disposition</w:t>
        <w:br w:type="textWrapping"/>
      </w:r>
    </w:p>
    <w:p w:rsidR="00000000" w:rsidDel="00000000" w:rsidP="00000000" w:rsidRDefault="00000000" w:rsidRPr="00000000" w14:paraId="00000053">
      <w:pPr>
        <w:spacing w:after="240" w:before="240" w:lineRule="auto"/>
        <w:rPr/>
      </w:pPr>
      <w:r w:rsidDel="00000000" w:rsidR="00000000" w:rsidRPr="00000000">
        <w:rPr>
          <w:rtl w:val="0"/>
        </w:rPr>
        <w:t xml:space="preserve">La sensibilisation est une démarche continue.</w:t>
      </w:r>
    </w:p>
    <w:p w:rsidR="00000000" w:rsidDel="00000000" w:rsidP="00000000" w:rsidRDefault="00000000" w:rsidRPr="00000000" w14:paraId="00000054">
      <w:pPr>
        <w:pStyle w:val="Heading2"/>
        <w:spacing w:after="80" w:before="360" w:line="276" w:lineRule="auto"/>
        <w:ind w:left="0" w:firstLine="0"/>
        <w:rPr>
          <w:color w:val="000000"/>
          <w:sz w:val="34"/>
          <w:szCs w:val="34"/>
        </w:rPr>
      </w:pPr>
      <w:bookmarkStart w:colFirst="0" w:colLast="0" w:name="_bfv2euqvlkkq" w:id="19"/>
      <w:bookmarkEnd w:id="19"/>
      <w:r w:rsidDel="00000000" w:rsidR="00000000" w:rsidRPr="00000000">
        <w:rPr>
          <w:color w:val="000000"/>
          <w:sz w:val="34"/>
          <w:szCs w:val="34"/>
          <w:rtl w:val="0"/>
        </w:rPr>
        <w:t xml:space="preserve">10. Suivi et révision</w:t>
      </w:r>
    </w:p>
    <w:p w:rsidR="00000000" w:rsidDel="00000000" w:rsidP="00000000" w:rsidRDefault="00000000" w:rsidRPr="00000000" w14:paraId="00000055">
      <w:pPr>
        <w:spacing w:after="240" w:before="240" w:lineRule="auto"/>
        <w:rPr/>
      </w:pPr>
      <w:r w:rsidDel="00000000" w:rsidR="00000000" w:rsidRPr="00000000">
        <w:rPr>
          <w:rtl w:val="0"/>
        </w:rPr>
        <w:t xml:space="preserve">Cette politique est un document </w:t>
      </w:r>
      <w:r w:rsidDel="00000000" w:rsidR="00000000" w:rsidRPr="00000000">
        <w:rPr>
          <w:b w:val="1"/>
          <w:rtl w:val="0"/>
        </w:rPr>
        <w:t xml:space="preserve">vivant</w:t>
      </w:r>
      <w:r w:rsidDel="00000000" w:rsidR="00000000" w:rsidRPr="00000000">
        <w:rPr>
          <w:rtl w:val="0"/>
        </w:rPr>
        <w:t xml:space="preserve"> : elle est révisée chaque année, ou plus fréquemment en cas :</w:t>
      </w:r>
    </w:p>
    <w:p w:rsidR="00000000" w:rsidDel="00000000" w:rsidP="00000000" w:rsidRDefault="00000000" w:rsidRPr="00000000" w14:paraId="00000056">
      <w:pPr>
        <w:numPr>
          <w:ilvl w:val="0"/>
          <w:numId w:val="8"/>
        </w:numPr>
        <w:spacing w:after="0" w:afterAutospacing="0" w:before="240" w:lineRule="auto"/>
        <w:ind w:left="720" w:hanging="360"/>
        <w:jc w:val="left"/>
      </w:pPr>
      <w:r w:rsidDel="00000000" w:rsidR="00000000" w:rsidRPr="00000000">
        <w:rPr>
          <w:rtl w:val="0"/>
        </w:rPr>
        <w:t xml:space="preserve">d’incident majeur</w:t>
        <w:br w:type="textWrapping"/>
      </w:r>
    </w:p>
    <w:p w:rsidR="00000000" w:rsidDel="00000000" w:rsidP="00000000" w:rsidRDefault="00000000" w:rsidRPr="00000000" w14:paraId="00000057">
      <w:pPr>
        <w:numPr>
          <w:ilvl w:val="0"/>
          <w:numId w:val="8"/>
        </w:numPr>
        <w:spacing w:after="0" w:afterAutospacing="0" w:before="0" w:beforeAutospacing="0" w:lineRule="auto"/>
        <w:ind w:left="720" w:hanging="360"/>
        <w:jc w:val="left"/>
      </w:pPr>
      <w:r w:rsidDel="00000000" w:rsidR="00000000" w:rsidRPr="00000000">
        <w:rPr>
          <w:rtl w:val="0"/>
        </w:rPr>
        <w:t xml:space="preserve">de modification réglementaire</w:t>
        <w:br w:type="textWrapping"/>
      </w:r>
    </w:p>
    <w:p w:rsidR="00000000" w:rsidDel="00000000" w:rsidP="00000000" w:rsidRDefault="00000000" w:rsidRPr="00000000" w14:paraId="00000058">
      <w:pPr>
        <w:numPr>
          <w:ilvl w:val="0"/>
          <w:numId w:val="8"/>
        </w:numPr>
        <w:spacing w:after="240" w:before="0" w:beforeAutospacing="0" w:lineRule="auto"/>
        <w:ind w:left="720" w:hanging="360"/>
        <w:jc w:val="left"/>
      </w:pPr>
      <w:r w:rsidDel="00000000" w:rsidR="00000000" w:rsidRPr="00000000">
        <w:rPr>
          <w:rtl w:val="0"/>
        </w:rPr>
        <w:t xml:space="preserve">de changement d’organisation ou d’infrastructure</w:t>
        <w:br w:type="textWrapping"/>
      </w:r>
    </w:p>
    <w:p w:rsidR="00000000" w:rsidDel="00000000" w:rsidP="00000000" w:rsidRDefault="00000000" w:rsidRPr="00000000" w14:paraId="00000059">
      <w:pPr>
        <w:spacing w:after="240" w:before="240" w:lineRule="auto"/>
        <w:rPr/>
      </w:pPr>
      <w:r w:rsidDel="00000000" w:rsidR="00000000" w:rsidRPr="00000000">
        <w:rPr>
          <w:rtl w:val="0"/>
        </w:rPr>
        <w:t xml:space="preserve">Un rapport annuel de conformité est transmis à la direction. Des audits internes ou externes peuvent être réalisés à tout moment.</w:t>
      </w:r>
    </w:p>
    <w:p w:rsidR="00000000" w:rsidDel="00000000" w:rsidP="00000000" w:rsidRDefault="00000000" w:rsidRPr="00000000" w14:paraId="0000005A">
      <w:pPr>
        <w:pStyle w:val="Heading2"/>
        <w:spacing w:after="80" w:before="360" w:line="276" w:lineRule="auto"/>
        <w:ind w:left="0" w:firstLine="0"/>
        <w:rPr>
          <w:color w:val="000000"/>
          <w:sz w:val="34"/>
          <w:szCs w:val="34"/>
        </w:rPr>
      </w:pPr>
      <w:bookmarkStart w:colFirst="0" w:colLast="0" w:name="_476wqeyusbcv" w:id="20"/>
      <w:bookmarkEnd w:id="20"/>
      <w:r w:rsidDel="00000000" w:rsidR="00000000" w:rsidRPr="00000000">
        <w:rPr>
          <w:color w:val="000000"/>
          <w:sz w:val="34"/>
          <w:szCs w:val="34"/>
          <w:rtl w:val="0"/>
        </w:rPr>
        <w:t xml:space="preserve">Approbation</w:t>
      </w:r>
    </w:p>
    <w:p w:rsidR="00000000" w:rsidDel="00000000" w:rsidP="00000000" w:rsidRDefault="00000000" w:rsidRPr="00000000" w14:paraId="0000005B">
      <w:pPr>
        <w:spacing w:after="240" w:before="240" w:lineRule="auto"/>
        <w:rPr/>
      </w:pPr>
      <w:r w:rsidDel="00000000" w:rsidR="00000000" w:rsidRPr="00000000">
        <w:rPr>
          <w:rtl w:val="0"/>
        </w:rPr>
        <w:t xml:space="preserve">Nom : ______________________</w:t>
        <w:br w:type="textWrapping"/>
        <w:t xml:space="preserve">Fonction : ___________________</w:t>
        <w:br w:type="textWrapping"/>
        <w:t xml:space="preserve">Date : ______________________</w:t>
        <w:br w:type="textWrapping"/>
        <w:t xml:space="preserve">Signature : __________________</w:t>
      </w:r>
    </w:p>
    <w:p w:rsidR="00000000" w:rsidDel="00000000" w:rsidP="00000000" w:rsidRDefault="00000000" w:rsidRPr="00000000" w14:paraId="0000005C">
      <w:pPr>
        <w:spacing w:after="240" w:before="240" w:lineRule="auto"/>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after="240" w:before="240" w:lineRule="auto"/>
      <w:rPr/>
    </w:pPr>
    <w:r w:rsidDel="00000000" w:rsidR="00000000" w:rsidRPr="00000000">
      <w:rPr>
        <w:b w:val="1"/>
        <w:rtl w:val="0"/>
      </w:rPr>
      <w:t xml:space="preserve">Version 1.0 — [Nom de l’entreprise] — [Date]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