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855B" w14:textId="4FC8B648" w:rsidR="00F556DB" w:rsidRPr="005A6C15" w:rsidRDefault="004C0AE2" w:rsidP="00992332">
      <w:pPr>
        <w:pStyle w:val="Heading1"/>
      </w:pPr>
      <w:r>
        <w:t>Young Designers: Location and Transformation</w:t>
      </w:r>
    </w:p>
    <w:p w14:paraId="3FEEBFBD" w14:textId="6B19A57C" w:rsidR="008E0709" w:rsidRPr="005A6C15" w:rsidRDefault="004C0AE2" w:rsidP="00F6480E">
      <w:pPr>
        <w:pStyle w:val="StageTitle"/>
        <w:numPr>
          <w:ilvl w:val="0"/>
          <w:numId w:val="0"/>
        </w:numPr>
        <w:spacing w:after="240"/>
        <w:ind w:left="357" w:hanging="357"/>
        <w:rPr>
          <w:rFonts w:asciiTheme="minorHAnsi" w:hAnsiTheme="minorHAnsi"/>
        </w:rPr>
      </w:pPr>
      <w:r>
        <w:rPr>
          <w:rFonts w:asciiTheme="minorHAnsi" w:hAnsiTheme="minorHAnsi"/>
        </w:rPr>
        <w:t>Curriculum Content Descriptions</w:t>
      </w:r>
    </w:p>
    <w:tbl>
      <w:tblPr>
        <w:tblW w:w="10695" w:type="dxa"/>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Layout w:type="fixed"/>
        <w:tblLook w:val="0400" w:firstRow="0" w:lastRow="0" w:firstColumn="0" w:lastColumn="0" w:noHBand="0" w:noVBand="1"/>
      </w:tblPr>
      <w:tblGrid>
        <w:gridCol w:w="2673"/>
        <w:gridCol w:w="2674"/>
        <w:gridCol w:w="2674"/>
        <w:gridCol w:w="2674"/>
      </w:tblGrid>
      <w:tr w:rsidR="004C0AE2" w14:paraId="26EF54DC" w14:textId="77777777" w:rsidTr="003F2DB6">
        <w:tc>
          <w:tcPr>
            <w:tcW w:w="2673" w:type="dxa"/>
            <w:shd w:val="clear" w:color="auto" w:fill="B0D0E2"/>
          </w:tcPr>
          <w:p w14:paraId="6465FC03" w14:textId="77777777" w:rsidR="004C0AE2" w:rsidRDefault="004C0AE2" w:rsidP="003F2DB6">
            <w:pPr>
              <w:pBdr>
                <w:top w:val="nil"/>
                <w:left w:val="nil"/>
                <w:bottom w:val="nil"/>
                <w:right w:val="nil"/>
                <w:between w:val="nil"/>
              </w:pBdr>
              <w:spacing w:before="60" w:after="60" w:line="216" w:lineRule="auto"/>
              <w:rPr>
                <w:rFonts w:cs="VIC"/>
                <w:b/>
                <w:color w:val="000000"/>
                <w:sz w:val="20"/>
                <w:szCs w:val="20"/>
              </w:rPr>
            </w:pPr>
            <w:r>
              <w:rPr>
                <w:rFonts w:ascii="VIC" w:eastAsia="VIC" w:hAnsi="VIC" w:cs="VIC"/>
                <w:b/>
                <w:color w:val="000000"/>
                <w:sz w:val="20"/>
                <w:szCs w:val="20"/>
              </w:rPr>
              <w:t xml:space="preserve">Level </w:t>
            </w:r>
            <w:r>
              <w:rPr>
                <w:b/>
                <w:sz w:val="20"/>
                <w:szCs w:val="20"/>
              </w:rPr>
              <w:t>4</w:t>
            </w:r>
          </w:p>
        </w:tc>
        <w:tc>
          <w:tcPr>
            <w:tcW w:w="2673" w:type="dxa"/>
            <w:shd w:val="clear" w:color="auto" w:fill="B0D0E2"/>
          </w:tcPr>
          <w:p w14:paraId="3781E96A" w14:textId="77777777" w:rsidR="004C0AE2" w:rsidRDefault="004C0AE2" w:rsidP="003F2DB6">
            <w:pPr>
              <w:pBdr>
                <w:top w:val="nil"/>
                <w:left w:val="nil"/>
                <w:bottom w:val="nil"/>
                <w:right w:val="nil"/>
                <w:between w:val="nil"/>
              </w:pBdr>
              <w:spacing w:before="60" w:after="60" w:line="216" w:lineRule="auto"/>
              <w:rPr>
                <w:rFonts w:cs="VIC"/>
                <w:b/>
                <w:color w:val="000000"/>
                <w:sz w:val="20"/>
                <w:szCs w:val="20"/>
              </w:rPr>
            </w:pPr>
            <w:r>
              <w:rPr>
                <w:rFonts w:ascii="VIC" w:eastAsia="VIC" w:hAnsi="VIC" w:cs="VIC"/>
                <w:b/>
                <w:color w:val="000000"/>
                <w:sz w:val="20"/>
                <w:szCs w:val="20"/>
              </w:rPr>
              <w:t xml:space="preserve">Level </w:t>
            </w:r>
            <w:r>
              <w:rPr>
                <w:b/>
                <w:sz w:val="20"/>
                <w:szCs w:val="20"/>
              </w:rPr>
              <w:t>5</w:t>
            </w:r>
          </w:p>
        </w:tc>
        <w:tc>
          <w:tcPr>
            <w:tcW w:w="2673" w:type="dxa"/>
            <w:shd w:val="clear" w:color="auto" w:fill="B0D0E2"/>
          </w:tcPr>
          <w:p w14:paraId="0DE457AF" w14:textId="77777777" w:rsidR="004C0AE2" w:rsidRDefault="004C0AE2" w:rsidP="003F2DB6">
            <w:pPr>
              <w:pBdr>
                <w:top w:val="nil"/>
                <w:left w:val="nil"/>
                <w:bottom w:val="nil"/>
                <w:right w:val="nil"/>
                <w:between w:val="nil"/>
              </w:pBdr>
              <w:spacing w:before="60" w:after="60" w:line="216" w:lineRule="auto"/>
              <w:rPr>
                <w:rFonts w:cs="VIC"/>
                <w:b/>
                <w:color w:val="000000"/>
                <w:sz w:val="20"/>
                <w:szCs w:val="20"/>
              </w:rPr>
            </w:pPr>
            <w:r>
              <w:rPr>
                <w:rFonts w:ascii="VIC" w:eastAsia="VIC" w:hAnsi="VIC" w:cs="VIC"/>
                <w:b/>
                <w:color w:val="000000"/>
                <w:sz w:val="20"/>
                <w:szCs w:val="20"/>
              </w:rPr>
              <w:t xml:space="preserve">Level </w:t>
            </w:r>
            <w:r>
              <w:rPr>
                <w:b/>
                <w:sz w:val="20"/>
                <w:szCs w:val="20"/>
              </w:rPr>
              <w:t>6</w:t>
            </w:r>
          </w:p>
        </w:tc>
        <w:tc>
          <w:tcPr>
            <w:tcW w:w="2673" w:type="dxa"/>
            <w:shd w:val="clear" w:color="auto" w:fill="B0D0E2"/>
          </w:tcPr>
          <w:p w14:paraId="0C0495B1" w14:textId="77777777" w:rsidR="004C0AE2" w:rsidRDefault="004C0AE2" w:rsidP="003F2DB6">
            <w:pPr>
              <w:pBdr>
                <w:top w:val="nil"/>
                <w:left w:val="nil"/>
                <w:bottom w:val="nil"/>
                <w:right w:val="nil"/>
                <w:between w:val="nil"/>
              </w:pBdr>
              <w:spacing w:before="60" w:after="60" w:line="216" w:lineRule="auto"/>
              <w:rPr>
                <w:rFonts w:cs="VIC"/>
                <w:b/>
                <w:color w:val="000000"/>
                <w:sz w:val="20"/>
                <w:szCs w:val="20"/>
              </w:rPr>
            </w:pPr>
            <w:r>
              <w:rPr>
                <w:rFonts w:ascii="VIC" w:eastAsia="VIC" w:hAnsi="VIC" w:cs="VIC"/>
                <w:b/>
                <w:color w:val="000000"/>
                <w:sz w:val="20"/>
                <w:szCs w:val="20"/>
              </w:rPr>
              <w:t>Stages that address the content</w:t>
            </w:r>
          </w:p>
        </w:tc>
      </w:tr>
      <w:tr w:rsidR="004C0AE2" w14:paraId="338610C2" w14:textId="77777777" w:rsidTr="003F2DB6">
        <w:tc>
          <w:tcPr>
            <w:tcW w:w="10692" w:type="dxa"/>
            <w:gridSpan w:val="4"/>
            <w:shd w:val="clear" w:color="auto" w:fill="D7E7F0"/>
          </w:tcPr>
          <w:p w14:paraId="4697402E" w14:textId="77777777" w:rsidR="004C0AE2" w:rsidRDefault="004C0AE2" w:rsidP="003F2DB6">
            <w:pPr>
              <w:keepNext/>
              <w:pBdr>
                <w:top w:val="nil"/>
                <w:left w:val="nil"/>
                <w:bottom w:val="nil"/>
                <w:right w:val="nil"/>
                <w:between w:val="nil"/>
              </w:pBdr>
              <w:spacing w:before="60" w:after="60" w:line="216" w:lineRule="auto"/>
              <w:rPr>
                <w:rFonts w:cs="VIC"/>
                <w:b/>
                <w:color w:val="000000"/>
                <w:sz w:val="20"/>
                <w:szCs w:val="20"/>
              </w:rPr>
            </w:pPr>
            <w:r>
              <w:rPr>
                <w:b/>
                <w:sz w:val="20"/>
                <w:szCs w:val="20"/>
              </w:rPr>
              <w:t>Mathematics: Measurement and Geometry</w:t>
            </w:r>
          </w:p>
        </w:tc>
      </w:tr>
      <w:tr w:rsidR="004C0AE2" w14:paraId="013FABCF" w14:textId="77777777" w:rsidTr="003F2DB6">
        <w:tc>
          <w:tcPr>
            <w:tcW w:w="2673" w:type="dxa"/>
          </w:tcPr>
          <w:p w14:paraId="393DB978" w14:textId="77777777" w:rsidR="004C0AE2" w:rsidRDefault="004C0AE2" w:rsidP="003F2DB6">
            <w:pPr>
              <w:pBdr>
                <w:top w:val="nil"/>
                <w:left w:val="nil"/>
                <w:bottom w:val="nil"/>
                <w:right w:val="nil"/>
                <w:between w:val="nil"/>
              </w:pBdr>
              <w:spacing w:before="120" w:after="120" w:line="216" w:lineRule="auto"/>
              <w:rPr>
                <w:rFonts w:ascii="Arial" w:eastAsia="Arial" w:hAnsi="Arial" w:cs="Arial"/>
                <w:sz w:val="20"/>
                <w:szCs w:val="20"/>
                <w:highlight w:val="white"/>
              </w:rPr>
            </w:pPr>
          </w:p>
        </w:tc>
        <w:tc>
          <w:tcPr>
            <w:tcW w:w="2673" w:type="dxa"/>
          </w:tcPr>
          <w:p w14:paraId="10010604" w14:textId="77777777" w:rsidR="004C0AE2" w:rsidRDefault="004C0AE2" w:rsidP="003F2DB6">
            <w:pPr>
              <w:keepNext/>
              <w:spacing w:before="120" w:after="120"/>
              <w:rPr>
                <w:sz w:val="20"/>
                <w:szCs w:val="20"/>
              </w:rPr>
            </w:pPr>
            <w:r>
              <w:rPr>
                <w:rFonts w:ascii="Arial" w:eastAsia="Arial" w:hAnsi="Arial" w:cs="Arial"/>
                <w:sz w:val="20"/>
                <w:szCs w:val="20"/>
                <w:highlight w:val="white"/>
              </w:rPr>
              <w:t xml:space="preserve">Connect three-dimensional objects with their nets and other two-dimensional representations </w:t>
            </w:r>
            <w:hyperlink r:id="rId9">
              <w:r>
                <w:rPr>
                  <w:rFonts w:ascii="Arial" w:eastAsia="Arial" w:hAnsi="Arial" w:cs="Arial"/>
                  <w:sz w:val="20"/>
                  <w:szCs w:val="20"/>
                  <w:highlight w:val="white"/>
                </w:rPr>
                <w:t>(</w:t>
              </w:r>
            </w:hyperlink>
            <w:hyperlink r:id="rId10">
              <w:r>
                <w:rPr>
                  <w:rFonts w:ascii="Arial" w:eastAsia="Arial" w:hAnsi="Arial" w:cs="Arial"/>
                  <w:color w:val="0000FF"/>
                  <w:sz w:val="20"/>
                  <w:szCs w:val="20"/>
                  <w:highlight w:val="white"/>
                  <w:u w:val="single"/>
                </w:rPr>
                <w:t>VCMMG198</w:t>
              </w:r>
            </w:hyperlink>
            <w:hyperlink r:id="rId11">
              <w:r>
                <w:rPr>
                  <w:rFonts w:ascii="Arial" w:eastAsia="Arial" w:hAnsi="Arial" w:cs="Arial"/>
                  <w:sz w:val="20"/>
                  <w:szCs w:val="20"/>
                  <w:highlight w:val="white"/>
                </w:rPr>
                <w:t>)</w:t>
              </w:r>
            </w:hyperlink>
          </w:p>
        </w:tc>
        <w:tc>
          <w:tcPr>
            <w:tcW w:w="2673" w:type="dxa"/>
          </w:tcPr>
          <w:p w14:paraId="12507DA1" w14:textId="77777777" w:rsidR="004C0AE2" w:rsidRDefault="004C0AE2" w:rsidP="003F2DB6">
            <w:pPr>
              <w:keepNext/>
              <w:spacing w:before="120" w:after="120"/>
              <w:rPr>
                <w:rFonts w:cs="VIC"/>
                <w:color w:val="000000"/>
                <w:sz w:val="20"/>
                <w:szCs w:val="20"/>
              </w:rPr>
            </w:pPr>
          </w:p>
        </w:tc>
        <w:tc>
          <w:tcPr>
            <w:tcW w:w="2673" w:type="dxa"/>
          </w:tcPr>
          <w:p w14:paraId="34F0497A" w14:textId="70DA188B" w:rsidR="004C0AE2" w:rsidRDefault="004C0AE2" w:rsidP="004C0AE2">
            <w:pPr>
              <w:numPr>
                <w:ilvl w:val="0"/>
                <w:numId w:val="3"/>
              </w:numPr>
              <w:spacing w:before="120" w:after="120" w:line="216" w:lineRule="auto"/>
              <w:ind w:left="460"/>
              <w:rPr>
                <w:rFonts w:cs="VIC"/>
                <w:sz w:val="20"/>
                <w:szCs w:val="20"/>
              </w:rPr>
            </w:pPr>
            <w:r>
              <w:rPr>
                <w:sz w:val="20"/>
                <w:szCs w:val="20"/>
              </w:rPr>
              <w:t xml:space="preserve">Architectural </w:t>
            </w:r>
            <w:r w:rsidR="009A7926">
              <w:rPr>
                <w:sz w:val="20"/>
                <w:szCs w:val="20"/>
              </w:rPr>
              <w:t>D</w:t>
            </w:r>
            <w:r>
              <w:rPr>
                <w:sz w:val="20"/>
                <w:szCs w:val="20"/>
              </w:rPr>
              <w:t>esigns</w:t>
            </w:r>
          </w:p>
        </w:tc>
      </w:tr>
      <w:tr w:rsidR="004C0AE2" w14:paraId="6F74680D" w14:textId="77777777" w:rsidTr="003F2DB6">
        <w:tc>
          <w:tcPr>
            <w:tcW w:w="2673" w:type="dxa"/>
          </w:tcPr>
          <w:p w14:paraId="02AED98D" w14:textId="77777777" w:rsidR="004C0AE2" w:rsidRDefault="004C0AE2" w:rsidP="003F2DB6">
            <w:pPr>
              <w:pBdr>
                <w:top w:val="nil"/>
                <w:left w:val="nil"/>
                <w:bottom w:val="nil"/>
                <w:right w:val="nil"/>
                <w:between w:val="nil"/>
              </w:pBdr>
              <w:spacing w:before="120" w:after="120" w:line="216" w:lineRule="auto"/>
              <w:rPr>
                <w:rFonts w:cs="VIC"/>
                <w:sz w:val="20"/>
                <w:szCs w:val="20"/>
              </w:rPr>
            </w:pPr>
            <w:r>
              <w:rPr>
                <w:rFonts w:ascii="Arial" w:eastAsia="Arial" w:hAnsi="Arial" w:cs="Arial"/>
                <w:sz w:val="20"/>
                <w:szCs w:val="20"/>
                <w:highlight w:val="white"/>
              </w:rPr>
              <w:t xml:space="preserve">Use simple scales, legends and directions to interpret information contained in basic maps </w:t>
            </w:r>
            <w:hyperlink r:id="rId12">
              <w:r>
                <w:rPr>
                  <w:rFonts w:ascii="Arial" w:eastAsia="Arial" w:hAnsi="Arial" w:cs="Arial"/>
                  <w:sz w:val="20"/>
                  <w:szCs w:val="20"/>
                  <w:highlight w:val="white"/>
                </w:rPr>
                <w:t>(</w:t>
              </w:r>
            </w:hyperlink>
            <w:hyperlink r:id="rId13">
              <w:r>
                <w:rPr>
                  <w:rFonts w:ascii="Arial" w:eastAsia="Arial" w:hAnsi="Arial" w:cs="Arial"/>
                  <w:color w:val="0000FF"/>
                  <w:sz w:val="20"/>
                  <w:szCs w:val="20"/>
                  <w:highlight w:val="white"/>
                  <w:u w:val="single"/>
                </w:rPr>
                <w:t>VCMMG172</w:t>
              </w:r>
            </w:hyperlink>
            <w:hyperlink r:id="rId14">
              <w:r>
                <w:rPr>
                  <w:rFonts w:ascii="Arial" w:eastAsia="Arial" w:hAnsi="Arial" w:cs="Arial"/>
                  <w:sz w:val="20"/>
                  <w:szCs w:val="20"/>
                  <w:highlight w:val="white"/>
                </w:rPr>
                <w:t>)</w:t>
              </w:r>
            </w:hyperlink>
          </w:p>
        </w:tc>
        <w:tc>
          <w:tcPr>
            <w:tcW w:w="2673" w:type="dxa"/>
          </w:tcPr>
          <w:p w14:paraId="08DCB64B" w14:textId="77777777" w:rsidR="004C0AE2" w:rsidRDefault="004C0AE2" w:rsidP="003F2DB6">
            <w:pPr>
              <w:pBdr>
                <w:top w:val="nil"/>
                <w:left w:val="nil"/>
                <w:bottom w:val="nil"/>
                <w:right w:val="nil"/>
                <w:between w:val="nil"/>
              </w:pBdr>
              <w:spacing w:before="120" w:after="120" w:line="216" w:lineRule="auto"/>
              <w:rPr>
                <w:rFonts w:cs="VIC"/>
                <w:sz w:val="20"/>
                <w:szCs w:val="20"/>
              </w:rPr>
            </w:pPr>
            <w:r>
              <w:rPr>
                <w:rFonts w:ascii="Arial" w:eastAsia="Arial" w:hAnsi="Arial" w:cs="Arial"/>
                <w:sz w:val="20"/>
                <w:szCs w:val="20"/>
                <w:highlight w:val="white"/>
              </w:rPr>
              <w:t xml:space="preserve">Use a grid reference system to describe locations. Describe routes using landmarks and directional language </w:t>
            </w:r>
            <w:hyperlink r:id="rId15">
              <w:r>
                <w:rPr>
                  <w:rFonts w:ascii="Arial" w:eastAsia="Arial" w:hAnsi="Arial" w:cs="Arial"/>
                  <w:sz w:val="20"/>
                  <w:szCs w:val="20"/>
                  <w:highlight w:val="white"/>
                </w:rPr>
                <w:t>(</w:t>
              </w:r>
            </w:hyperlink>
            <w:hyperlink r:id="rId16">
              <w:r>
                <w:rPr>
                  <w:rFonts w:ascii="Arial" w:eastAsia="Arial" w:hAnsi="Arial" w:cs="Arial"/>
                  <w:color w:val="0000FF"/>
                  <w:sz w:val="20"/>
                  <w:szCs w:val="20"/>
                  <w:highlight w:val="white"/>
                  <w:u w:val="single"/>
                </w:rPr>
                <w:t>VCMMG199</w:t>
              </w:r>
            </w:hyperlink>
            <w:hyperlink r:id="rId17">
              <w:r>
                <w:rPr>
                  <w:rFonts w:ascii="Arial" w:eastAsia="Arial" w:hAnsi="Arial" w:cs="Arial"/>
                  <w:sz w:val="20"/>
                  <w:szCs w:val="20"/>
                  <w:highlight w:val="white"/>
                </w:rPr>
                <w:t>)</w:t>
              </w:r>
            </w:hyperlink>
          </w:p>
        </w:tc>
        <w:tc>
          <w:tcPr>
            <w:tcW w:w="2673" w:type="dxa"/>
          </w:tcPr>
          <w:p w14:paraId="1649FF79" w14:textId="77777777" w:rsidR="004C0AE2" w:rsidRDefault="004C0AE2" w:rsidP="003F2DB6">
            <w:pPr>
              <w:keepNext/>
              <w:spacing w:before="120" w:after="120"/>
              <w:rPr>
                <w:rFonts w:cs="VIC"/>
                <w:color w:val="000000"/>
                <w:sz w:val="20"/>
                <w:szCs w:val="20"/>
              </w:rPr>
            </w:pPr>
          </w:p>
        </w:tc>
        <w:tc>
          <w:tcPr>
            <w:tcW w:w="2673" w:type="dxa"/>
          </w:tcPr>
          <w:p w14:paraId="2FDA9434" w14:textId="007A3C66" w:rsidR="004C0AE2" w:rsidRDefault="004C0AE2" w:rsidP="004C0AE2">
            <w:pPr>
              <w:numPr>
                <w:ilvl w:val="0"/>
                <w:numId w:val="3"/>
              </w:numPr>
              <w:pBdr>
                <w:top w:val="nil"/>
                <w:left w:val="nil"/>
                <w:bottom w:val="nil"/>
                <w:right w:val="nil"/>
                <w:between w:val="nil"/>
              </w:pBdr>
              <w:spacing w:before="120" w:after="120" w:line="216" w:lineRule="auto"/>
              <w:ind w:left="460"/>
              <w:rPr>
                <w:rFonts w:cs="VIC"/>
                <w:color w:val="000000"/>
                <w:sz w:val="20"/>
                <w:szCs w:val="20"/>
              </w:rPr>
            </w:pPr>
            <w:r>
              <w:rPr>
                <w:sz w:val="20"/>
                <w:szCs w:val="20"/>
              </w:rPr>
              <w:t xml:space="preserve">Urban </w:t>
            </w:r>
            <w:r w:rsidR="009A7926">
              <w:rPr>
                <w:sz w:val="20"/>
                <w:szCs w:val="20"/>
              </w:rPr>
              <w:t>D</w:t>
            </w:r>
            <w:r>
              <w:rPr>
                <w:sz w:val="20"/>
                <w:szCs w:val="20"/>
              </w:rPr>
              <w:t>esigns</w:t>
            </w:r>
          </w:p>
        </w:tc>
      </w:tr>
      <w:tr w:rsidR="004C0AE2" w14:paraId="6FBE6634" w14:textId="77777777" w:rsidTr="003F2DB6">
        <w:tc>
          <w:tcPr>
            <w:tcW w:w="2673" w:type="dxa"/>
          </w:tcPr>
          <w:p w14:paraId="5FC8C0C5" w14:textId="77777777" w:rsidR="004C0AE2" w:rsidRDefault="004C0AE2" w:rsidP="003F2DB6">
            <w:pPr>
              <w:pBdr>
                <w:top w:val="nil"/>
                <w:left w:val="nil"/>
                <w:bottom w:val="nil"/>
                <w:right w:val="nil"/>
                <w:between w:val="nil"/>
              </w:pBdr>
              <w:spacing w:before="120" w:after="120" w:line="216" w:lineRule="auto"/>
              <w:rPr>
                <w:rFonts w:cs="VIC"/>
                <w:sz w:val="20"/>
                <w:szCs w:val="20"/>
              </w:rPr>
            </w:pPr>
            <w:r>
              <w:rPr>
                <w:rFonts w:ascii="Arial" w:eastAsia="Arial" w:hAnsi="Arial" w:cs="Arial"/>
                <w:sz w:val="20"/>
                <w:szCs w:val="20"/>
                <w:highlight w:val="white"/>
              </w:rPr>
              <w:t xml:space="preserve">Create symmetrical patterns, pictures and shapes with and without digital technologies </w:t>
            </w:r>
            <w:hyperlink r:id="rId18">
              <w:r>
                <w:rPr>
                  <w:rFonts w:ascii="Arial" w:eastAsia="Arial" w:hAnsi="Arial" w:cs="Arial"/>
                  <w:sz w:val="20"/>
                  <w:szCs w:val="20"/>
                  <w:highlight w:val="white"/>
                </w:rPr>
                <w:t>(</w:t>
              </w:r>
            </w:hyperlink>
            <w:hyperlink r:id="rId19">
              <w:r>
                <w:rPr>
                  <w:rFonts w:ascii="Arial" w:eastAsia="Arial" w:hAnsi="Arial" w:cs="Arial"/>
                  <w:color w:val="0000FF"/>
                  <w:sz w:val="20"/>
                  <w:szCs w:val="20"/>
                  <w:highlight w:val="white"/>
                  <w:u w:val="single"/>
                </w:rPr>
                <w:t>VCMMG173</w:t>
              </w:r>
            </w:hyperlink>
            <w:hyperlink r:id="rId20">
              <w:r>
                <w:rPr>
                  <w:rFonts w:ascii="Arial" w:eastAsia="Arial" w:hAnsi="Arial" w:cs="Arial"/>
                  <w:sz w:val="20"/>
                  <w:szCs w:val="20"/>
                  <w:highlight w:val="white"/>
                </w:rPr>
                <w:t>)</w:t>
              </w:r>
            </w:hyperlink>
          </w:p>
        </w:tc>
        <w:tc>
          <w:tcPr>
            <w:tcW w:w="2673" w:type="dxa"/>
          </w:tcPr>
          <w:p w14:paraId="33981DC2" w14:textId="77777777" w:rsidR="004C0AE2" w:rsidRDefault="004C0AE2" w:rsidP="003F2DB6">
            <w:pPr>
              <w:pBdr>
                <w:top w:val="nil"/>
                <w:left w:val="nil"/>
                <w:bottom w:val="nil"/>
                <w:right w:val="nil"/>
                <w:between w:val="nil"/>
              </w:pBdr>
              <w:spacing w:before="120" w:after="120" w:line="216" w:lineRule="auto"/>
              <w:rPr>
                <w:rFonts w:cs="VIC"/>
                <w:sz w:val="20"/>
                <w:szCs w:val="20"/>
                <w:u w:val="single"/>
              </w:rPr>
            </w:pPr>
            <w:r>
              <w:rPr>
                <w:rFonts w:ascii="Arial" w:eastAsia="Arial" w:hAnsi="Arial" w:cs="Arial"/>
                <w:sz w:val="20"/>
                <w:szCs w:val="20"/>
                <w:highlight w:val="white"/>
              </w:rPr>
              <w:t xml:space="preserve">Describe translations, </w:t>
            </w:r>
            <w:proofErr w:type="gramStart"/>
            <w:r>
              <w:rPr>
                <w:rFonts w:ascii="Arial" w:eastAsia="Arial" w:hAnsi="Arial" w:cs="Arial"/>
                <w:sz w:val="20"/>
                <w:szCs w:val="20"/>
                <w:highlight w:val="white"/>
              </w:rPr>
              <w:t>reflections</w:t>
            </w:r>
            <w:proofErr w:type="gramEnd"/>
            <w:r>
              <w:rPr>
                <w:rFonts w:ascii="Arial" w:eastAsia="Arial" w:hAnsi="Arial" w:cs="Arial"/>
                <w:sz w:val="20"/>
                <w:szCs w:val="20"/>
                <w:highlight w:val="white"/>
              </w:rPr>
              <w:t xml:space="preserve"> and rotations of two-dimensional shapes. Identify line and rotational symmetries </w:t>
            </w:r>
            <w:hyperlink r:id="rId21">
              <w:r>
                <w:rPr>
                  <w:rFonts w:ascii="Arial" w:eastAsia="Arial" w:hAnsi="Arial" w:cs="Arial"/>
                  <w:sz w:val="20"/>
                  <w:szCs w:val="20"/>
                  <w:highlight w:val="white"/>
                </w:rPr>
                <w:t>(</w:t>
              </w:r>
            </w:hyperlink>
            <w:hyperlink r:id="rId22">
              <w:r>
                <w:rPr>
                  <w:rFonts w:ascii="Arial" w:eastAsia="Arial" w:hAnsi="Arial" w:cs="Arial"/>
                  <w:color w:val="0000FF"/>
                  <w:sz w:val="20"/>
                  <w:szCs w:val="20"/>
                  <w:highlight w:val="white"/>
                  <w:u w:val="single"/>
                </w:rPr>
                <w:t>VCMMG200</w:t>
              </w:r>
            </w:hyperlink>
            <w:hyperlink r:id="rId23">
              <w:r>
                <w:rPr>
                  <w:rFonts w:ascii="Arial" w:eastAsia="Arial" w:hAnsi="Arial" w:cs="Arial"/>
                  <w:sz w:val="20"/>
                  <w:szCs w:val="20"/>
                  <w:highlight w:val="white"/>
                </w:rPr>
                <w:t>)</w:t>
              </w:r>
            </w:hyperlink>
          </w:p>
        </w:tc>
        <w:tc>
          <w:tcPr>
            <w:tcW w:w="2673" w:type="dxa"/>
          </w:tcPr>
          <w:p w14:paraId="6DBA6D4C" w14:textId="77777777" w:rsidR="004C0AE2" w:rsidRDefault="004C0AE2" w:rsidP="003F2DB6">
            <w:pPr>
              <w:keepNext/>
              <w:spacing w:before="120" w:after="120"/>
              <w:rPr>
                <w:sz w:val="20"/>
                <w:szCs w:val="20"/>
              </w:rPr>
            </w:pPr>
            <w:r>
              <w:rPr>
                <w:rFonts w:ascii="Arial" w:eastAsia="Arial" w:hAnsi="Arial" w:cs="Arial"/>
                <w:sz w:val="20"/>
                <w:szCs w:val="20"/>
                <w:highlight w:val="white"/>
              </w:rPr>
              <w:t xml:space="preserve">Investigate the effect of combinations of transformations on simple and composite shapes, including creating tessellations, with and without the use of digital technologies </w:t>
            </w:r>
            <w:hyperlink r:id="rId24">
              <w:r>
                <w:rPr>
                  <w:rFonts w:ascii="Arial" w:eastAsia="Arial" w:hAnsi="Arial" w:cs="Arial"/>
                  <w:sz w:val="20"/>
                  <w:szCs w:val="20"/>
                  <w:highlight w:val="white"/>
                </w:rPr>
                <w:t>(</w:t>
              </w:r>
            </w:hyperlink>
            <w:hyperlink r:id="rId25">
              <w:r>
                <w:rPr>
                  <w:rFonts w:ascii="Arial" w:eastAsia="Arial" w:hAnsi="Arial" w:cs="Arial"/>
                  <w:color w:val="0000FF"/>
                  <w:sz w:val="20"/>
                  <w:szCs w:val="20"/>
                  <w:highlight w:val="white"/>
                  <w:u w:val="single"/>
                </w:rPr>
                <w:t>VCMMG229</w:t>
              </w:r>
            </w:hyperlink>
            <w:hyperlink r:id="rId26">
              <w:r>
                <w:rPr>
                  <w:rFonts w:ascii="Arial" w:eastAsia="Arial" w:hAnsi="Arial" w:cs="Arial"/>
                  <w:highlight w:val="white"/>
                </w:rPr>
                <w:t>)</w:t>
              </w:r>
            </w:hyperlink>
          </w:p>
        </w:tc>
        <w:tc>
          <w:tcPr>
            <w:tcW w:w="2673" w:type="dxa"/>
          </w:tcPr>
          <w:p w14:paraId="23FFE3F0" w14:textId="7F51CB8E" w:rsidR="004C0AE2" w:rsidRDefault="004C0AE2" w:rsidP="004C0AE2">
            <w:pPr>
              <w:numPr>
                <w:ilvl w:val="0"/>
                <w:numId w:val="3"/>
              </w:numPr>
              <w:pBdr>
                <w:top w:val="nil"/>
                <w:left w:val="nil"/>
                <w:bottom w:val="nil"/>
                <w:right w:val="nil"/>
                <w:between w:val="nil"/>
              </w:pBdr>
              <w:spacing w:before="120" w:after="120" w:line="216" w:lineRule="auto"/>
              <w:ind w:left="460"/>
              <w:rPr>
                <w:rFonts w:cs="VIC"/>
                <w:color w:val="000000"/>
                <w:sz w:val="20"/>
                <w:szCs w:val="20"/>
              </w:rPr>
            </w:pPr>
            <w:r>
              <w:rPr>
                <w:sz w:val="20"/>
                <w:szCs w:val="20"/>
              </w:rPr>
              <w:t xml:space="preserve">Architectural </w:t>
            </w:r>
            <w:r w:rsidR="009A7926">
              <w:rPr>
                <w:sz w:val="20"/>
                <w:szCs w:val="20"/>
              </w:rPr>
              <w:t>D</w:t>
            </w:r>
            <w:r>
              <w:rPr>
                <w:sz w:val="20"/>
                <w:szCs w:val="20"/>
              </w:rPr>
              <w:t>esigns</w:t>
            </w:r>
          </w:p>
          <w:p w14:paraId="2AD8343F" w14:textId="5E8AAABF" w:rsidR="004C0AE2" w:rsidRDefault="004C0AE2" w:rsidP="004C0AE2">
            <w:pPr>
              <w:numPr>
                <w:ilvl w:val="0"/>
                <w:numId w:val="3"/>
              </w:numPr>
              <w:pBdr>
                <w:top w:val="nil"/>
                <w:left w:val="nil"/>
                <w:bottom w:val="nil"/>
                <w:right w:val="nil"/>
                <w:between w:val="nil"/>
              </w:pBdr>
              <w:spacing w:before="120" w:after="120" w:line="216" w:lineRule="auto"/>
              <w:ind w:left="460"/>
              <w:rPr>
                <w:sz w:val="20"/>
                <w:szCs w:val="20"/>
              </w:rPr>
            </w:pPr>
            <w:r>
              <w:rPr>
                <w:sz w:val="20"/>
                <w:szCs w:val="20"/>
              </w:rPr>
              <w:t xml:space="preserve">Exterior </w:t>
            </w:r>
            <w:r w:rsidR="009A7926">
              <w:rPr>
                <w:sz w:val="20"/>
                <w:szCs w:val="20"/>
              </w:rPr>
              <w:t>D</w:t>
            </w:r>
            <w:r>
              <w:rPr>
                <w:sz w:val="20"/>
                <w:szCs w:val="20"/>
              </w:rPr>
              <w:t>esigns</w:t>
            </w:r>
          </w:p>
          <w:p w14:paraId="4359285B" w14:textId="12F960AD" w:rsidR="004C0AE2" w:rsidRDefault="004C0AE2" w:rsidP="004C0AE2">
            <w:pPr>
              <w:numPr>
                <w:ilvl w:val="0"/>
                <w:numId w:val="3"/>
              </w:numPr>
              <w:pBdr>
                <w:top w:val="nil"/>
                <w:left w:val="nil"/>
                <w:bottom w:val="nil"/>
                <w:right w:val="nil"/>
                <w:between w:val="nil"/>
              </w:pBdr>
              <w:spacing w:before="120" w:after="120" w:line="216" w:lineRule="auto"/>
              <w:ind w:left="460"/>
              <w:rPr>
                <w:sz w:val="20"/>
                <w:szCs w:val="20"/>
              </w:rPr>
            </w:pPr>
            <w:r>
              <w:rPr>
                <w:sz w:val="20"/>
                <w:szCs w:val="20"/>
              </w:rPr>
              <w:t xml:space="preserve">Interior </w:t>
            </w:r>
            <w:r w:rsidR="009A7926">
              <w:rPr>
                <w:sz w:val="20"/>
                <w:szCs w:val="20"/>
              </w:rPr>
              <w:t>D</w:t>
            </w:r>
            <w:r>
              <w:rPr>
                <w:sz w:val="20"/>
                <w:szCs w:val="20"/>
              </w:rPr>
              <w:t>esigns</w:t>
            </w:r>
          </w:p>
          <w:p w14:paraId="4E6E123C" w14:textId="54740E7F" w:rsidR="004C0AE2" w:rsidRDefault="004C0AE2" w:rsidP="004C0AE2">
            <w:pPr>
              <w:numPr>
                <w:ilvl w:val="0"/>
                <w:numId w:val="3"/>
              </w:numPr>
              <w:pBdr>
                <w:top w:val="nil"/>
                <w:left w:val="nil"/>
                <w:bottom w:val="nil"/>
                <w:right w:val="nil"/>
                <w:between w:val="nil"/>
              </w:pBdr>
              <w:spacing w:before="120" w:after="120" w:line="216" w:lineRule="auto"/>
              <w:ind w:left="460"/>
              <w:rPr>
                <w:sz w:val="20"/>
                <w:szCs w:val="20"/>
              </w:rPr>
            </w:pPr>
            <w:r>
              <w:rPr>
                <w:sz w:val="20"/>
                <w:szCs w:val="20"/>
              </w:rPr>
              <w:t xml:space="preserve">Interpreting </w:t>
            </w:r>
            <w:r w:rsidR="009A7926">
              <w:rPr>
                <w:sz w:val="20"/>
                <w:szCs w:val="20"/>
              </w:rPr>
              <w:t>D</w:t>
            </w:r>
            <w:r>
              <w:rPr>
                <w:sz w:val="20"/>
                <w:szCs w:val="20"/>
              </w:rPr>
              <w:t>esigns</w:t>
            </w:r>
          </w:p>
        </w:tc>
      </w:tr>
      <w:tr w:rsidR="004C0AE2" w14:paraId="120D982B" w14:textId="77777777" w:rsidTr="003F2DB6">
        <w:tc>
          <w:tcPr>
            <w:tcW w:w="2673" w:type="dxa"/>
          </w:tcPr>
          <w:p w14:paraId="7663D3FF" w14:textId="77777777" w:rsidR="004C0AE2" w:rsidRDefault="004C0AE2" w:rsidP="003F2DB6">
            <w:pPr>
              <w:pBdr>
                <w:top w:val="nil"/>
                <w:left w:val="nil"/>
                <w:bottom w:val="nil"/>
                <w:right w:val="nil"/>
                <w:between w:val="nil"/>
              </w:pBdr>
              <w:spacing w:before="120" w:after="120" w:line="216" w:lineRule="auto"/>
              <w:rPr>
                <w:rFonts w:ascii="Arial" w:eastAsia="Arial" w:hAnsi="Arial" w:cs="Arial"/>
                <w:sz w:val="20"/>
                <w:szCs w:val="20"/>
                <w:highlight w:val="white"/>
              </w:rPr>
            </w:pPr>
          </w:p>
        </w:tc>
        <w:tc>
          <w:tcPr>
            <w:tcW w:w="2673" w:type="dxa"/>
          </w:tcPr>
          <w:p w14:paraId="6EC8C842" w14:textId="77777777" w:rsidR="004C0AE2" w:rsidRDefault="004C0AE2" w:rsidP="003F2DB6">
            <w:pPr>
              <w:pBdr>
                <w:top w:val="nil"/>
                <w:left w:val="nil"/>
                <w:bottom w:val="nil"/>
                <w:right w:val="nil"/>
                <w:between w:val="nil"/>
              </w:pBdr>
              <w:spacing w:before="120" w:after="120" w:line="216" w:lineRule="auto"/>
              <w:rPr>
                <w:rFonts w:ascii="Arial" w:eastAsia="Arial" w:hAnsi="Arial" w:cs="Arial"/>
                <w:sz w:val="20"/>
                <w:szCs w:val="20"/>
                <w:highlight w:val="white"/>
                <w:u w:val="single"/>
              </w:rPr>
            </w:pPr>
            <w:r>
              <w:rPr>
                <w:rFonts w:ascii="Arial" w:eastAsia="Arial" w:hAnsi="Arial" w:cs="Arial"/>
                <w:sz w:val="20"/>
                <w:szCs w:val="20"/>
                <w:highlight w:val="white"/>
              </w:rPr>
              <w:t xml:space="preserve">Apply the enlargement transformation to familiar two dimensional shapes and explore the properties of the resulting image compared with the original </w:t>
            </w:r>
            <w:hyperlink r:id="rId27">
              <w:r>
                <w:rPr>
                  <w:rFonts w:ascii="Arial" w:eastAsia="Arial" w:hAnsi="Arial" w:cs="Arial"/>
                  <w:sz w:val="20"/>
                  <w:szCs w:val="20"/>
                  <w:highlight w:val="white"/>
                </w:rPr>
                <w:t>(</w:t>
              </w:r>
            </w:hyperlink>
            <w:hyperlink r:id="rId28">
              <w:r>
                <w:rPr>
                  <w:rFonts w:ascii="Arial" w:eastAsia="Arial" w:hAnsi="Arial" w:cs="Arial"/>
                  <w:color w:val="0000FF"/>
                  <w:sz w:val="20"/>
                  <w:szCs w:val="20"/>
                  <w:highlight w:val="white"/>
                  <w:u w:val="single"/>
                </w:rPr>
                <w:t>VCMMG201</w:t>
              </w:r>
            </w:hyperlink>
            <w:hyperlink r:id="rId29">
              <w:r>
                <w:rPr>
                  <w:rFonts w:ascii="Arial" w:eastAsia="Arial" w:hAnsi="Arial" w:cs="Arial"/>
                  <w:sz w:val="20"/>
                  <w:szCs w:val="20"/>
                  <w:highlight w:val="white"/>
                </w:rPr>
                <w:t>)</w:t>
              </w:r>
            </w:hyperlink>
          </w:p>
        </w:tc>
        <w:tc>
          <w:tcPr>
            <w:tcW w:w="2673" w:type="dxa"/>
          </w:tcPr>
          <w:p w14:paraId="27B7781A" w14:textId="77777777" w:rsidR="004C0AE2" w:rsidRDefault="004C0AE2" w:rsidP="003F2DB6">
            <w:pPr>
              <w:pBdr>
                <w:top w:val="nil"/>
                <w:left w:val="nil"/>
                <w:bottom w:val="nil"/>
                <w:right w:val="nil"/>
                <w:between w:val="nil"/>
              </w:pBdr>
              <w:spacing w:before="120" w:after="120" w:line="216" w:lineRule="auto"/>
              <w:rPr>
                <w:rFonts w:cs="VIC"/>
                <w:color w:val="000000"/>
                <w:sz w:val="20"/>
                <w:szCs w:val="20"/>
              </w:rPr>
            </w:pPr>
          </w:p>
        </w:tc>
        <w:tc>
          <w:tcPr>
            <w:tcW w:w="2673" w:type="dxa"/>
          </w:tcPr>
          <w:p w14:paraId="4487351E" w14:textId="2398E15A" w:rsidR="004C0AE2" w:rsidRDefault="004C0AE2" w:rsidP="004C0AE2">
            <w:pPr>
              <w:numPr>
                <w:ilvl w:val="0"/>
                <w:numId w:val="3"/>
              </w:numPr>
              <w:spacing w:before="120" w:after="120" w:line="216" w:lineRule="auto"/>
              <w:ind w:left="460"/>
              <w:rPr>
                <w:sz w:val="20"/>
                <w:szCs w:val="20"/>
              </w:rPr>
            </w:pPr>
            <w:r>
              <w:rPr>
                <w:sz w:val="20"/>
                <w:szCs w:val="20"/>
              </w:rPr>
              <w:t xml:space="preserve">Interior </w:t>
            </w:r>
            <w:r w:rsidR="009A7926">
              <w:rPr>
                <w:sz w:val="20"/>
                <w:szCs w:val="20"/>
              </w:rPr>
              <w:t>D</w:t>
            </w:r>
            <w:r>
              <w:rPr>
                <w:sz w:val="20"/>
                <w:szCs w:val="20"/>
              </w:rPr>
              <w:t>esigns</w:t>
            </w:r>
          </w:p>
        </w:tc>
      </w:tr>
      <w:tr w:rsidR="004C0AE2" w14:paraId="663F1B90" w14:textId="77777777" w:rsidTr="003F2DB6">
        <w:tc>
          <w:tcPr>
            <w:tcW w:w="10692" w:type="dxa"/>
            <w:gridSpan w:val="4"/>
            <w:shd w:val="clear" w:color="auto" w:fill="D7E7F0"/>
          </w:tcPr>
          <w:p w14:paraId="2E935C0D" w14:textId="77777777" w:rsidR="004C0AE2" w:rsidRDefault="004C0AE2" w:rsidP="003F2DB6">
            <w:pPr>
              <w:keepNext/>
              <w:pBdr>
                <w:top w:val="nil"/>
                <w:left w:val="nil"/>
                <w:bottom w:val="nil"/>
                <w:right w:val="nil"/>
                <w:between w:val="nil"/>
              </w:pBdr>
              <w:spacing w:before="60" w:after="60" w:line="216" w:lineRule="auto"/>
              <w:rPr>
                <w:rFonts w:cs="VIC"/>
                <w:b/>
                <w:color w:val="000000"/>
                <w:sz w:val="20"/>
                <w:szCs w:val="20"/>
              </w:rPr>
            </w:pPr>
            <w:r>
              <w:rPr>
                <w:b/>
                <w:sz w:val="20"/>
                <w:szCs w:val="20"/>
              </w:rPr>
              <w:t>Mathematics: Patterns and Algebra</w:t>
            </w:r>
          </w:p>
        </w:tc>
      </w:tr>
      <w:tr w:rsidR="004C0AE2" w14:paraId="02B5ED87" w14:textId="77777777" w:rsidTr="003F2DB6">
        <w:tc>
          <w:tcPr>
            <w:tcW w:w="2673" w:type="dxa"/>
          </w:tcPr>
          <w:p w14:paraId="1E115009" w14:textId="77777777" w:rsidR="004C0AE2" w:rsidRDefault="004C0AE2" w:rsidP="003F2DB6">
            <w:pPr>
              <w:pBdr>
                <w:top w:val="nil"/>
                <w:left w:val="nil"/>
                <w:bottom w:val="nil"/>
                <w:right w:val="nil"/>
                <w:between w:val="nil"/>
              </w:pBdr>
              <w:spacing w:before="120" w:after="120" w:line="216" w:lineRule="auto"/>
              <w:rPr>
                <w:rFonts w:cs="VIC"/>
                <w:color w:val="000000"/>
                <w:sz w:val="20"/>
                <w:szCs w:val="20"/>
              </w:rPr>
            </w:pPr>
          </w:p>
        </w:tc>
        <w:tc>
          <w:tcPr>
            <w:tcW w:w="2673" w:type="dxa"/>
          </w:tcPr>
          <w:p w14:paraId="19383241" w14:textId="77777777" w:rsidR="004C0AE2" w:rsidRDefault="004C0AE2" w:rsidP="003F2DB6">
            <w:pPr>
              <w:keepNext/>
              <w:spacing w:before="120" w:after="120"/>
              <w:rPr>
                <w:rFonts w:ascii="Arial" w:eastAsia="Arial" w:hAnsi="Arial" w:cs="Arial"/>
                <w:sz w:val="20"/>
                <w:szCs w:val="20"/>
              </w:rPr>
            </w:pPr>
            <w:r>
              <w:rPr>
                <w:rFonts w:ascii="Arial" w:eastAsia="Arial" w:hAnsi="Arial" w:cs="Arial"/>
                <w:sz w:val="20"/>
                <w:szCs w:val="20"/>
                <w:highlight w:val="white"/>
              </w:rPr>
              <w:t xml:space="preserve">Follow a mathematical algorithm involving branching and repetition (iteration) </w:t>
            </w:r>
            <w:hyperlink r:id="rId30">
              <w:r>
                <w:rPr>
                  <w:rFonts w:ascii="Arial" w:eastAsia="Arial" w:hAnsi="Arial" w:cs="Arial"/>
                  <w:sz w:val="20"/>
                  <w:szCs w:val="20"/>
                  <w:highlight w:val="white"/>
                </w:rPr>
                <w:t>(</w:t>
              </w:r>
            </w:hyperlink>
            <w:hyperlink r:id="rId31">
              <w:r w:rsidRPr="00A3735E">
                <w:rPr>
                  <w:rFonts w:ascii="Arial" w:eastAsia="Arial" w:hAnsi="Arial" w:cs="Arial"/>
                  <w:color w:val="0000FF"/>
                  <w:sz w:val="20"/>
                  <w:szCs w:val="20"/>
                  <w:highlight w:val="white"/>
                  <w:u w:val="single"/>
                </w:rPr>
                <w:t>VCMNA194</w:t>
              </w:r>
            </w:hyperlink>
            <w:hyperlink r:id="rId32">
              <w:r>
                <w:rPr>
                  <w:rFonts w:ascii="Arial" w:eastAsia="Arial" w:hAnsi="Arial" w:cs="Arial"/>
                  <w:sz w:val="20"/>
                  <w:szCs w:val="20"/>
                  <w:highlight w:val="white"/>
                </w:rPr>
                <w:t>)</w:t>
              </w:r>
            </w:hyperlink>
          </w:p>
        </w:tc>
        <w:tc>
          <w:tcPr>
            <w:tcW w:w="2673" w:type="dxa"/>
          </w:tcPr>
          <w:p w14:paraId="1BEC97F2" w14:textId="77777777" w:rsidR="004C0AE2" w:rsidRDefault="004C0AE2" w:rsidP="003F2DB6">
            <w:pPr>
              <w:keepNext/>
              <w:spacing w:before="120" w:after="120"/>
              <w:ind w:left="360"/>
              <w:rPr>
                <w:sz w:val="20"/>
                <w:szCs w:val="20"/>
              </w:rPr>
            </w:pPr>
          </w:p>
        </w:tc>
        <w:tc>
          <w:tcPr>
            <w:tcW w:w="2673" w:type="dxa"/>
          </w:tcPr>
          <w:p w14:paraId="5E8DD875" w14:textId="0A7A1904" w:rsidR="004C0AE2" w:rsidRDefault="004C0AE2" w:rsidP="004C0AE2">
            <w:pPr>
              <w:keepNext/>
              <w:numPr>
                <w:ilvl w:val="0"/>
                <w:numId w:val="2"/>
              </w:numPr>
              <w:spacing w:before="120" w:after="120"/>
              <w:rPr>
                <w:sz w:val="20"/>
                <w:szCs w:val="20"/>
              </w:rPr>
            </w:pPr>
            <w:r>
              <w:rPr>
                <w:sz w:val="20"/>
                <w:szCs w:val="20"/>
              </w:rPr>
              <w:t xml:space="preserve">Urban </w:t>
            </w:r>
            <w:r w:rsidR="009A7926">
              <w:rPr>
                <w:sz w:val="20"/>
                <w:szCs w:val="20"/>
              </w:rPr>
              <w:t>D</w:t>
            </w:r>
            <w:r>
              <w:rPr>
                <w:sz w:val="20"/>
                <w:szCs w:val="20"/>
              </w:rPr>
              <w:t>esigns</w:t>
            </w:r>
          </w:p>
        </w:tc>
      </w:tr>
      <w:tr w:rsidR="004C0AE2" w14:paraId="1EE1D7FB" w14:textId="77777777" w:rsidTr="003F2DB6">
        <w:tc>
          <w:tcPr>
            <w:tcW w:w="10692" w:type="dxa"/>
            <w:gridSpan w:val="4"/>
            <w:shd w:val="clear" w:color="auto" w:fill="D7E7F0"/>
          </w:tcPr>
          <w:p w14:paraId="18661289" w14:textId="77777777" w:rsidR="004C0AE2" w:rsidRDefault="004C0AE2" w:rsidP="003F2DB6">
            <w:pPr>
              <w:keepNext/>
              <w:pBdr>
                <w:top w:val="nil"/>
                <w:left w:val="nil"/>
                <w:bottom w:val="nil"/>
                <w:right w:val="nil"/>
                <w:between w:val="nil"/>
              </w:pBdr>
              <w:spacing w:before="60" w:after="60" w:line="216" w:lineRule="auto"/>
              <w:rPr>
                <w:rFonts w:cs="VIC"/>
                <w:b/>
                <w:color w:val="000000"/>
                <w:sz w:val="20"/>
                <w:szCs w:val="20"/>
              </w:rPr>
            </w:pPr>
            <w:r>
              <w:rPr>
                <w:b/>
                <w:sz w:val="20"/>
                <w:szCs w:val="20"/>
              </w:rPr>
              <w:t>Critical and Creative Thinking</w:t>
            </w:r>
          </w:p>
        </w:tc>
      </w:tr>
      <w:tr w:rsidR="004C0AE2" w14:paraId="49F930A1" w14:textId="77777777" w:rsidTr="003F2DB6">
        <w:trPr>
          <w:trHeight w:val="240"/>
        </w:trPr>
        <w:tc>
          <w:tcPr>
            <w:tcW w:w="2673" w:type="dxa"/>
          </w:tcPr>
          <w:p w14:paraId="59278A3B" w14:textId="77777777" w:rsidR="004C0AE2" w:rsidRDefault="004C0AE2" w:rsidP="003F2DB6">
            <w:pPr>
              <w:pBdr>
                <w:top w:val="nil"/>
                <w:left w:val="nil"/>
                <w:bottom w:val="nil"/>
                <w:right w:val="nil"/>
                <w:between w:val="nil"/>
              </w:pBdr>
              <w:spacing w:before="120" w:after="120" w:line="216" w:lineRule="auto"/>
              <w:rPr>
                <w:rFonts w:cs="VIC"/>
                <w:color w:val="000000"/>
                <w:sz w:val="20"/>
                <w:szCs w:val="20"/>
              </w:rPr>
            </w:pPr>
          </w:p>
        </w:tc>
        <w:tc>
          <w:tcPr>
            <w:tcW w:w="5346" w:type="dxa"/>
            <w:gridSpan w:val="2"/>
          </w:tcPr>
          <w:p w14:paraId="5CEECF4D" w14:textId="77777777" w:rsidR="004C0AE2" w:rsidRDefault="004C0AE2" w:rsidP="003F2DB6">
            <w:pPr>
              <w:keepNext/>
              <w:spacing w:before="120" w:after="120"/>
              <w:rPr>
                <w:sz w:val="20"/>
                <w:szCs w:val="20"/>
              </w:rPr>
            </w:pPr>
            <w:r>
              <w:rPr>
                <w:rFonts w:ascii="Arial" w:eastAsia="Arial" w:hAnsi="Arial" w:cs="Arial"/>
                <w:sz w:val="20"/>
                <w:szCs w:val="20"/>
                <w:highlight w:val="white"/>
              </w:rPr>
              <w:t>Consider the importance of giving reasons and evidence and how the strength of these can be evaluated</w:t>
            </w:r>
            <w:r>
              <w:rPr>
                <w:rFonts w:ascii="Arial" w:eastAsia="Arial" w:hAnsi="Arial" w:cs="Arial"/>
                <w:color w:val="535353"/>
                <w:sz w:val="20"/>
                <w:szCs w:val="20"/>
                <w:highlight w:val="white"/>
              </w:rPr>
              <w:t xml:space="preserve"> </w:t>
            </w:r>
            <w:r>
              <w:rPr>
                <w:rFonts w:ascii="Arial" w:eastAsia="Arial" w:hAnsi="Arial" w:cs="Arial"/>
                <w:sz w:val="20"/>
                <w:szCs w:val="20"/>
                <w:highlight w:val="white"/>
              </w:rPr>
              <w:t>(</w:t>
            </w:r>
            <w:hyperlink r:id="rId33">
              <w:r w:rsidRPr="00A3735E">
                <w:rPr>
                  <w:rFonts w:ascii="Arial" w:eastAsia="Arial" w:hAnsi="Arial" w:cs="Arial"/>
                  <w:color w:val="0000FF"/>
                  <w:sz w:val="20"/>
                  <w:szCs w:val="20"/>
                  <w:highlight w:val="white"/>
                  <w:u w:val="single"/>
                </w:rPr>
                <w:t>VCCCTR025</w:t>
              </w:r>
            </w:hyperlink>
            <w:r>
              <w:rPr>
                <w:rFonts w:ascii="Arial" w:eastAsia="Arial" w:hAnsi="Arial" w:cs="Arial"/>
                <w:sz w:val="20"/>
                <w:szCs w:val="20"/>
                <w:highlight w:val="white"/>
              </w:rPr>
              <w:t>)</w:t>
            </w:r>
          </w:p>
        </w:tc>
        <w:tc>
          <w:tcPr>
            <w:tcW w:w="2673" w:type="dxa"/>
          </w:tcPr>
          <w:p w14:paraId="50939CF5" w14:textId="6FEA1EBF" w:rsidR="004C0AE2" w:rsidRDefault="004C0AE2" w:rsidP="004C0AE2">
            <w:pPr>
              <w:keepNext/>
              <w:numPr>
                <w:ilvl w:val="0"/>
                <w:numId w:val="2"/>
              </w:numPr>
              <w:spacing w:before="120" w:after="120"/>
              <w:rPr>
                <w:sz w:val="20"/>
                <w:szCs w:val="20"/>
              </w:rPr>
            </w:pPr>
            <w:r>
              <w:rPr>
                <w:sz w:val="20"/>
                <w:szCs w:val="20"/>
              </w:rPr>
              <w:t xml:space="preserve">Architectural </w:t>
            </w:r>
            <w:r w:rsidR="009A7926">
              <w:rPr>
                <w:sz w:val="20"/>
                <w:szCs w:val="20"/>
              </w:rPr>
              <w:t>D</w:t>
            </w:r>
            <w:r>
              <w:rPr>
                <w:sz w:val="20"/>
                <w:szCs w:val="20"/>
              </w:rPr>
              <w:t>esigns</w:t>
            </w:r>
          </w:p>
        </w:tc>
      </w:tr>
      <w:tr w:rsidR="004C0AE2" w14:paraId="52C35E4A" w14:textId="77777777" w:rsidTr="003F2DB6">
        <w:trPr>
          <w:trHeight w:val="200"/>
        </w:trPr>
        <w:tc>
          <w:tcPr>
            <w:tcW w:w="10692" w:type="dxa"/>
            <w:gridSpan w:val="4"/>
            <w:shd w:val="clear" w:color="auto" w:fill="D7E7F0"/>
          </w:tcPr>
          <w:p w14:paraId="77CB7138" w14:textId="77777777" w:rsidR="004C0AE2" w:rsidRDefault="004C0AE2" w:rsidP="003F2DB6">
            <w:pPr>
              <w:keepNext/>
              <w:spacing w:before="60" w:after="60" w:line="216" w:lineRule="auto"/>
              <w:rPr>
                <w:rFonts w:cs="VIC"/>
                <w:color w:val="000000"/>
                <w:sz w:val="20"/>
                <w:szCs w:val="20"/>
              </w:rPr>
            </w:pPr>
            <w:r>
              <w:rPr>
                <w:b/>
                <w:sz w:val="20"/>
                <w:szCs w:val="20"/>
              </w:rPr>
              <w:t>Digital Technologies</w:t>
            </w:r>
          </w:p>
        </w:tc>
      </w:tr>
      <w:tr w:rsidR="004C0AE2" w14:paraId="4B33C091" w14:textId="77777777" w:rsidTr="003F2DB6">
        <w:trPr>
          <w:trHeight w:val="200"/>
        </w:trPr>
        <w:tc>
          <w:tcPr>
            <w:tcW w:w="2673" w:type="dxa"/>
          </w:tcPr>
          <w:p w14:paraId="2C051AEB" w14:textId="77777777" w:rsidR="004C0AE2" w:rsidRDefault="004C0AE2" w:rsidP="003F2DB6">
            <w:pPr>
              <w:pBdr>
                <w:top w:val="nil"/>
                <w:left w:val="nil"/>
                <w:bottom w:val="nil"/>
                <w:right w:val="nil"/>
                <w:between w:val="nil"/>
              </w:pBdr>
              <w:spacing w:before="120" w:after="120" w:line="216" w:lineRule="auto"/>
              <w:rPr>
                <w:rFonts w:cs="VIC"/>
                <w:color w:val="000000"/>
                <w:sz w:val="20"/>
                <w:szCs w:val="20"/>
              </w:rPr>
            </w:pPr>
          </w:p>
        </w:tc>
        <w:tc>
          <w:tcPr>
            <w:tcW w:w="5346" w:type="dxa"/>
            <w:gridSpan w:val="2"/>
          </w:tcPr>
          <w:p w14:paraId="5AE681A3" w14:textId="77777777" w:rsidR="004C0AE2" w:rsidRDefault="004C0AE2" w:rsidP="003F2DB6">
            <w:pPr>
              <w:keepNext/>
              <w:spacing w:before="120" w:after="120"/>
              <w:rPr>
                <w:rFonts w:cs="VIC"/>
                <w:color w:val="F69200"/>
                <w:sz w:val="20"/>
                <w:szCs w:val="20"/>
              </w:rPr>
            </w:pPr>
            <w:r>
              <w:rPr>
                <w:rFonts w:ascii="Arial" w:eastAsia="Arial" w:hAnsi="Arial" w:cs="Arial"/>
                <w:sz w:val="20"/>
                <w:szCs w:val="20"/>
                <w:highlight w:val="white"/>
              </w:rPr>
              <w:t xml:space="preserve">Design, modify and follow simple algorithms represented diagrammatically and in English, involving sequences of steps, branching, and iteration </w:t>
            </w:r>
            <w:hyperlink r:id="rId34">
              <w:r>
                <w:rPr>
                  <w:rFonts w:ascii="Arial" w:eastAsia="Arial" w:hAnsi="Arial" w:cs="Arial"/>
                  <w:sz w:val="20"/>
                  <w:szCs w:val="20"/>
                  <w:highlight w:val="white"/>
                </w:rPr>
                <w:t>(</w:t>
              </w:r>
            </w:hyperlink>
            <w:hyperlink r:id="rId35">
              <w:r>
                <w:rPr>
                  <w:rFonts w:ascii="Arial" w:eastAsia="Arial" w:hAnsi="Arial" w:cs="Arial"/>
                  <w:color w:val="0000FF"/>
                  <w:sz w:val="20"/>
                  <w:szCs w:val="20"/>
                  <w:highlight w:val="white"/>
                  <w:u w:val="single"/>
                </w:rPr>
                <w:t>VCDTCD032</w:t>
              </w:r>
            </w:hyperlink>
            <w:hyperlink r:id="rId36">
              <w:r>
                <w:rPr>
                  <w:rFonts w:ascii="Arial" w:eastAsia="Arial" w:hAnsi="Arial" w:cs="Arial"/>
                  <w:sz w:val="20"/>
                  <w:szCs w:val="20"/>
                  <w:highlight w:val="white"/>
                </w:rPr>
                <w:t>)</w:t>
              </w:r>
            </w:hyperlink>
          </w:p>
        </w:tc>
        <w:tc>
          <w:tcPr>
            <w:tcW w:w="2673" w:type="dxa"/>
          </w:tcPr>
          <w:p w14:paraId="58082301" w14:textId="4040FEB0" w:rsidR="004C0AE2" w:rsidRDefault="004C0AE2" w:rsidP="004C0AE2">
            <w:pPr>
              <w:keepNext/>
              <w:numPr>
                <w:ilvl w:val="0"/>
                <w:numId w:val="2"/>
              </w:numPr>
              <w:spacing w:before="120" w:after="120"/>
              <w:rPr>
                <w:sz w:val="20"/>
                <w:szCs w:val="20"/>
              </w:rPr>
            </w:pPr>
            <w:r>
              <w:rPr>
                <w:sz w:val="20"/>
                <w:szCs w:val="20"/>
              </w:rPr>
              <w:t xml:space="preserve">Urban </w:t>
            </w:r>
            <w:r w:rsidR="009A7926">
              <w:rPr>
                <w:sz w:val="20"/>
                <w:szCs w:val="20"/>
              </w:rPr>
              <w:t>D</w:t>
            </w:r>
            <w:r>
              <w:rPr>
                <w:sz w:val="20"/>
                <w:szCs w:val="20"/>
              </w:rPr>
              <w:t>esigns</w:t>
            </w:r>
          </w:p>
        </w:tc>
      </w:tr>
    </w:tbl>
    <w:p w14:paraId="4222F0BB" w14:textId="77777777" w:rsidR="003E44DB" w:rsidRDefault="003E44DB" w:rsidP="003E44DB">
      <w:pPr>
        <w:rPr>
          <w:rFonts w:ascii="VIC" w:eastAsia="VIC" w:hAnsi="VIC" w:cs="VIC"/>
        </w:rPr>
      </w:pPr>
    </w:p>
    <w:p w14:paraId="517A159E" w14:textId="77777777" w:rsidR="003E44DB" w:rsidRDefault="003E44DB" w:rsidP="003E44DB">
      <w:pPr>
        <w:pStyle w:val="FootnoteText"/>
        <w:ind w:left="284" w:right="3395"/>
        <w:rPr>
          <w:sz w:val="18"/>
          <w:szCs w:val="18"/>
        </w:rPr>
      </w:pPr>
    </w:p>
    <w:p w14:paraId="539C2683" w14:textId="77777777"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37" w:history="1">
        <w:r w:rsidRPr="00617EFB">
          <w:rPr>
            <w:rStyle w:val="Hyperlink"/>
            <w:sz w:val="18"/>
            <w:szCs w:val="18"/>
          </w:rPr>
          <w:t>CC BY 4.0</w:t>
        </w:r>
      </w:hyperlink>
    </w:p>
    <w:p w14:paraId="287E60CF"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2E1F"/>
    <w:multiLevelType w:val="multilevel"/>
    <w:tmpl w:val="33F24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6D16228"/>
    <w:multiLevelType w:val="multilevel"/>
    <w:tmpl w:val="ACE8F3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89508813">
    <w:abstractNumId w:val="1"/>
  </w:num>
  <w:num w:numId="2" w16cid:durableId="2055694207">
    <w:abstractNumId w:val="2"/>
  </w:num>
  <w:num w:numId="3" w16cid:durableId="158873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E2"/>
    <w:rsid w:val="00022F43"/>
    <w:rsid w:val="00037867"/>
    <w:rsid w:val="00056A8C"/>
    <w:rsid w:val="002B010A"/>
    <w:rsid w:val="002E4631"/>
    <w:rsid w:val="00352B47"/>
    <w:rsid w:val="003E44DB"/>
    <w:rsid w:val="004C0AE2"/>
    <w:rsid w:val="00512B12"/>
    <w:rsid w:val="00553DCA"/>
    <w:rsid w:val="005A6C15"/>
    <w:rsid w:val="005D6160"/>
    <w:rsid w:val="00654554"/>
    <w:rsid w:val="00722F50"/>
    <w:rsid w:val="007D7B5D"/>
    <w:rsid w:val="008C4CA1"/>
    <w:rsid w:val="008E0709"/>
    <w:rsid w:val="008F169D"/>
    <w:rsid w:val="00941AF1"/>
    <w:rsid w:val="00992332"/>
    <w:rsid w:val="009A7926"/>
    <w:rsid w:val="00A3735E"/>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FEA1"/>
  <w15:chartTrackingRefBased/>
  <w15:docId w15:val="{B25578AF-5DE4-4923-9165-33B41F1D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MMG172" TargetMode="External"/><Relationship Id="rId18" Type="http://schemas.openxmlformats.org/officeDocument/2006/relationships/hyperlink" Target="https://victoriancurriculum.vcaa.vic.edu.au/Curriculum/ContentDescription/VCMMG173" TargetMode="External"/><Relationship Id="rId26" Type="http://schemas.openxmlformats.org/officeDocument/2006/relationships/hyperlink" Target="https://victoriancurriculum.vcaa.vic.edu.au/Curriculum/ContentDescription/VCMMG229" TargetMode="External"/><Relationship Id="rId39" Type="http://schemas.openxmlformats.org/officeDocument/2006/relationships/theme" Target="theme/theme1.xml"/><Relationship Id="rId21" Type="http://schemas.openxmlformats.org/officeDocument/2006/relationships/hyperlink" Target="https://victoriancurriculum.vcaa.vic.edu.au/Curriculum/ContentDescription/VCMMG200" TargetMode="External"/><Relationship Id="rId34" Type="http://schemas.openxmlformats.org/officeDocument/2006/relationships/hyperlink" Target="https://victoriancurriculum.vcaa.vic.edu.au/Curriculum/ContentDescription/VCDTCD032"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MMG172" TargetMode="External"/><Relationship Id="rId17" Type="http://schemas.openxmlformats.org/officeDocument/2006/relationships/hyperlink" Target="https://victoriancurriculum.vcaa.vic.edu.au/Curriculum/ContentDescription/VCMMG199" TargetMode="External"/><Relationship Id="rId25" Type="http://schemas.openxmlformats.org/officeDocument/2006/relationships/hyperlink" Target="https://victoriancurriculum.vcaa.vic.edu.au/Curriculum/ContentDescription/VCMMG229" TargetMode="External"/><Relationship Id="rId33" Type="http://schemas.openxmlformats.org/officeDocument/2006/relationships/hyperlink" Target="https://victoriancurriculum.vcaa.vic.edu.au/Curriculum/ContentDescription/VCCCTR02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MMG199" TargetMode="External"/><Relationship Id="rId20" Type="http://schemas.openxmlformats.org/officeDocument/2006/relationships/hyperlink" Target="https://victoriancurriculum.vcaa.vic.edu.au/Curriculum/ContentDescription/VCMMG173" TargetMode="External"/><Relationship Id="rId29" Type="http://schemas.openxmlformats.org/officeDocument/2006/relationships/hyperlink" Target="https://victoriancurriculum.vcaa.vic.edu.au/Curriculum/ContentDescription/VCMMG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MMG198" TargetMode="External"/><Relationship Id="rId24" Type="http://schemas.openxmlformats.org/officeDocument/2006/relationships/hyperlink" Target="https://victoriancurriculum.vcaa.vic.edu.au/Curriculum/ContentDescription/VCMMG229" TargetMode="External"/><Relationship Id="rId32" Type="http://schemas.openxmlformats.org/officeDocument/2006/relationships/hyperlink" Target="https://victoriancurriculum.vcaa.vic.edu.au/Curriculum/ContentDescription/VCMNA194" TargetMode="External"/><Relationship Id="rId37" Type="http://schemas.openxmlformats.org/officeDocument/2006/relationships/hyperlink" Target="https://creativecommons.org/licenses/by/4.0/" TargetMode="External"/><Relationship Id="rId5" Type="http://schemas.openxmlformats.org/officeDocument/2006/relationships/numbering" Target="numbering.xml"/><Relationship Id="rId15" Type="http://schemas.openxmlformats.org/officeDocument/2006/relationships/hyperlink" Target="https://victoriancurriculum.vcaa.vic.edu.au/Curriculum/ContentDescription/VCMMG199" TargetMode="External"/><Relationship Id="rId23" Type="http://schemas.openxmlformats.org/officeDocument/2006/relationships/hyperlink" Target="https://victoriancurriculum.vcaa.vic.edu.au/Curriculum/ContentDescription/VCMMG200" TargetMode="External"/><Relationship Id="rId28" Type="http://schemas.openxmlformats.org/officeDocument/2006/relationships/hyperlink" Target="https://victoriancurriculum.vcaa.vic.edu.au/Curriculum/ContentDescription/VCMMG201" TargetMode="External"/><Relationship Id="rId36" Type="http://schemas.openxmlformats.org/officeDocument/2006/relationships/hyperlink" Target="https://victoriancurriculum.vcaa.vic.edu.au/Curriculum/ContentDescription/VCDTCD032" TargetMode="External"/><Relationship Id="rId10" Type="http://schemas.openxmlformats.org/officeDocument/2006/relationships/hyperlink" Target="https://victoriancurriculum.vcaa.vic.edu.au/Curriculum/ContentDescription/VCMMG198" TargetMode="External"/><Relationship Id="rId19" Type="http://schemas.openxmlformats.org/officeDocument/2006/relationships/hyperlink" Target="https://victoriancurriculum.vcaa.vic.edu.au/Curriculum/ContentDescription/VCMMG173" TargetMode="External"/><Relationship Id="rId31" Type="http://schemas.openxmlformats.org/officeDocument/2006/relationships/hyperlink" Target="https://victoriancurriculum.vcaa.vic.edu.au/Curriculum/ContentDescription/VCMNA194" TargetMode="External"/><Relationship Id="rId4" Type="http://schemas.openxmlformats.org/officeDocument/2006/relationships/customXml" Target="../customXml/item4.xml"/><Relationship Id="rId9" Type="http://schemas.openxmlformats.org/officeDocument/2006/relationships/hyperlink" Target="https://victoriancurriculum.vcaa.vic.edu.au/Curriculum/ContentDescription/VCMMG198" TargetMode="External"/><Relationship Id="rId14" Type="http://schemas.openxmlformats.org/officeDocument/2006/relationships/hyperlink" Target="https://victoriancurriculum.vcaa.vic.edu.au/Curriculum/ContentDescription/VCMMG172" TargetMode="External"/><Relationship Id="rId22" Type="http://schemas.openxmlformats.org/officeDocument/2006/relationships/hyperlink" Target="https://victoriancurriculum.vcaa.vic.edu.au/Curriculum/ContentDescription/VCMMG200" TargetMode="External"/><Relationship Id="rId27" Type="http://schemas.openxmlformats.org/officeDocument/2006/relationships/hyperlink" Target="https://victoriancurriculum.vcaa.vic.edu.au/Curriculum/ContentDescription/VCMMG201" TargetMode="External"/><Relationship Id="rId30" Type="http://schemas.openxmlformats.org/officeDocument/2006/relationships/hyperlink" Target="https://victoriancurriculum.vcaa.vic.edu.au/Curriculum/ContentDescription/VCMNA194" TargetMode="External"/><Relationship Id="rId35" Type="http://schemas.openxmlformats.org/officeDocument/2006/relationships/hyperlink" Target="https://victoriancurriculum.vcaa.vic.edu.au/Curriculum/ContentDescription/VCDTCD03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2.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5</TotalTime>
  <Pages>1</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3</cp:revision>
  <dcterms:created xsi:type="dcterms:W3CDTF">2022-05-06T03:34:00Z</dcterms:created>
  <dcterms:modified xsi:type="dcterms:W3CDTF">2022-05-26T02:35:00Z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