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09CB" w14:textId="06EBD6F4" w:rsidR="00F556DB" w:rsidRPr="00F556DB" w:rsidRDefault="005649E0" w:rsidP="00F556DB">
      <w:pPr>
        <w:pStyle w:val="Heading1"/>
      </w:pPr>
      <w:r>
        <w:t>Graphic stories</w:t>
      </w:r>
      <w:r w:rsidR="00F556DB" w:rsidRPr="00F556DB">
        <w:t>: RESOURCES</w:t>
      </w:r>
    </w:p>
    <w:p w14:paraId="5EE36270" w14:textId="7BEB0F0A" w:rsidR="00F556DB" w:rsidRPr="00AB1DBB" w:rsidRDefault="00DA3E15" w:rsidP="00AB1DBB">
      <w:pPr>
        <w:pStyle w:val="StageTitle"/>
        <w:numPr>
          <w:ilvl w:val="0"/>
          <w:numId w:val="0"/>
        </w:numPr>
        <w:ind w:left="357" w:hanging="357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Jigsaw protocol</w:t>
      </w:r>
      <w:r>
        <w:rPr>
          <w:rFonts w:asciiTheme="minorHAnsi" w:hAnsiTheme="minorHAnsi"/>
          <w:color w:val="auto"/>
        </w:rPr>
        <w:tab/>
      </w:r>
    </w:p>
    <w:p w14:paraId="2F72913B" w14:textId="77777777" w:rsidR="00AB1DBB" w:rsidRPr="0022720B" w:rsidRDefault="00AB1DBB">
      <w:pPr>
        <w:rPr>
          <w:rFonts w:ascii="VIC" w:hAnsi="VIC"/>
        </w:rPr>
      </w:pPr>
      <w:r w:rsidRPr="0022720B">
        <w:rPr>
          <w:rFonts w:ascii="VIC" w:hAnsi="VIC"/>
          <w:b/>
          <w:bCs/>
        </w:rPr>
        <w:t>Jigsaw Instructions</w:t>
      </w:r>
      <w:r w:rsidRPr="0022720B">
        <w:rPr>
          <w:rFonts w:ascii="VIC" w:hAnsi="VIC"/>
        </w:rPr>
        <w:t xml:space="preserve"> </w:t>
      </w:r>
    </w:p>
    <w:p w14:paraId="1A5A8B2F" w14:textId="560D8946" w:rsidR="00AB1DBB" w:rsidRPr="009E1051" w:rsidRDefault="00AB1DBB" w:rsidP="009E1051">
      <w:pPr>
        <w:pStyle w:val="ListParagraph"/>
        <w:numPr>
          <w:ilvl w:val="0"/>
          <w:numId w:val="4"/>
        </w:numPr>
        <w:rPr>
          <w:rFonts w:ascii="VIC" w:hAnsi="VIC"/>
        </w:rPr>
      </w:pPr>
      <w:r w:rsidRPr="009E1051">
        <w:rPr>
          <w:rFonts w:ascii="VIC" w:hAnsi="VIC"/>
        </w:rPr>
        <w:t xml:space="preserve">Form ‘jigsaw’ groups of </w:t>
      </w:r>
      <w:r w:rsidR="007C4F30" w:rsidRPr="009E1051">
        <w:rPr>
          <w:rFonts w:ascii="VIC" w:hAnsi="VIC"/>
        </w:rPr>
        <w:t>4</w:t>
      </w:r>
    </w:p>
    <w:p w14:paraId="5DCF52DE" w14:textId="2187107F" w:rsidR="00553DCA" w:rsidRPr="009E1051" w:rsidRDefault="00AB1DBB" w:rsidP="009E1051">
      <w:pPr>
        <w:pStyle w:val="ListParagraph"/>
        <w:numPr>
          <w:ilvl w:val="0"/>
          <w:numId w:val="4"/>
        </w:numPr>
        <w:rPr>
          <w:rFonts w:ascii="VIC" w:hAnsi="VIC"/>
        </w:rPr>
      </w:pPr>
      <w:r w:rsidRPr="009E1051">
        <w:rPr>
          <w:rFonts w:ascii="VIC" w:hAnsi="VIC"/>
        </w:rPr>
        <w:t xml:space="preserve">Each group member will be </w:t>
      </w:r>
      <w:r w:rsidR="00C36225" w:rsidRPr="009E1051">
        <w:rPr>
          <w:rFonts w:ascii="VIC" w:hAnsi="VIC"/>
        </w:rPr>
        <w:t>summarising the key information from</w:t>
      </w:r>
      <w:r w:rsidRPr="009E1051">
        <w:rPr>
          <w:rFonts w:ascii="VIC" w:hAnsi="VIC"/>
        </w:rPr>
        <w:t xml:space="preserve"> </w:t>
      </w:r>
      <w:r w:rsidRPr="009E1051">
        <w:rPr>
          <w:rFonts w:ascii="VIC" w:hAnsi="VIC"/>
          <w:b/>
          <w:bCs/>
        </w:rPr>
        <w:t>one</w:t>
      </w:r>
      <w:r w:rsidRPr="009E1051">
        <w:rPr>
          <w:rFonts w:ascii="VIC" w:hAnsi="VIC"/>
        </w:rPr>
        <w:t xml:space="preserve"> </w:t>
      </w:r>
      <w:r w:rsidR="00C36225" w:rsidRPr="009E1051">
        <w:rPr>
          <w:rFonts w:ascii="VIC" w:hAnsi="VIC"/>
        </w:rPr>
        <w:t>text from the list below</w:t>
      </w:r>
      <w:r w:rsidRPr="009E1051">
        <w:rPr>
          <w:rFonts w:ascii="VIC" w:hAnsi="VIC"/>
        </w:rPr>
        <w:t>.</w:t>
      </w:r>
    </w:p>
    <w:p w14:paraId="392BB39D" w14:textId="77777777" w:rsidR="009E1051" w:rsidRPr="009E1051" w:rsidRDefault="009E1051" w:rsidP="009E1051">
      <w:pPr>
        <w:pStyle w:val="ListParagraph"/>
        <w:numPr>
          <w:ilvl w:val="0"/>
          <w:numId w:val="4"/>
        </w:numPr>
        <w:rPr>
          <w:rFonts w:ascii="VIC" w:hAnsi="VIC"/>
        </w:rPr>
      </w:pPr>
      <w:r w:rsidRPr="009E1051">
        <w:rPr>
          <w:rFonts w:ascii="VIC" w:hAnsi="VIC"/>
        </w:rPr>
        <w:t xml:space="preserve">Assign each student a number and the correlating text. </w:t>
      </w:r>
    </w:p>
    <w:p w14:paraId="5C966B78" w14:textId="2058669A" w:rsidR="009E1051" w:rsidRPr="009E1051" w:rsidRDefault="009E1051" w:rsidP="009E1051">
      <w:pPr>
        <w:pStyle w:val="ListParagraph"/>
        <w:numPr>
          <w:ilvl w:val="0"/>
          <w:numId w:val="4"/>
        </w:numPr>
        <w:rPr>
          <w:rFonts w:ascii="VIC" w:hAnsi="VIC"/>
        </w:rPr>
      </w:pPr>
      <w:r w:rsidRPr="009E1051">
        <w:rPr>
          <w:rFonts w:ascii="VIC" w:hAnsi="VIC"/>
        </w:rPr>
        <w:t>Students read the text, highlighting key ideas and questions that they have. Ask students to note any vocabulary or ideas that need clarificatio</w:t>
      </w:r>
      <w:r w:rsidR="0078723F">
        <w:rPr>
          <w:rFonts w:ascii="VIC" w:hAnsi="VIC"/>
        </w:rPr>
        <w:t>n.</w:t>
      </w:r>
      <w:r w:rsidRPr="009E1051">
        <w:rPr>
          <w:rFonts w:ascii="VIC" w:hAnsi="VIC"/>
        </w:rPr>
        <w:t xml:space="preserve"> </w:t>
      </w:r>
      <w:r w:rsidR="0078723F">
        <w:rPr>
          <w:rFonts w:ascii="VIC" w:hAnsi="VIC"/>
        </w:rPr>
        <w:t>C</w:t>
      </w:r>
      <w:r w:rsidRPr="009E1051">
        <w:rPr>
          <w:rFonts w:ascii="VIC" w:hAnsi="VIC"/>
        </w:rPr>
        <w:t>larify these</w:t>
      </w:r>
      <w:r w:rsidR="0078723F">
        <w:rPr>
          <w:rFonts w:ascii="VIC" w:hAnsi="VIC"/>
        </w:rPr>
        <w:t xml:space="preserve"> as a whole class</w:t>
      </w:r>
      <w:r w:rsidRPr="009E1051">
        <w:rPr>
          <w:rFonts w:ascii="VIC" w:hAnsi="VIC"/>
        </w:rPr>
        <w:t xml:space="preserve"> before students form their expert groups. </w:t>
      </w:r>
    </w:p>
    <w:p w14:paraId="11A5C7D8" w14:textId="77777777" w:rsidR="009E1051" w:rsidRPr="009E1051" w:rsidRDefault="009E1051" w:rsidP="009E1051">
      <w:pPr>
        <w:pStyle w:val="ListParagraph"/>
        <w:numPr>
          <w:ilvl w:val="0"/>
          <w:numId w:val="4"/>
        </w:numPr>
        <w:rPr>
          <w:rFonts w:ascii="VIC" w:hAnsi="VIC"/>
        </w:rPr>
      </w:pPr>
      <w:r w:rsidRPr="009E1051">
        <w:rPr>
          <w:rFonts w:ascii="VIC" w:hAnsi="VIC"/>
        </w:rPr>
        <w:t>Students form into expert groups, with all students reading the same text joining together to discuss the key ideas and their questions. Students create a joint summary of the main ideas from the text to share back with their original jigsaw group.</w:t>
      </w:r>
    </w:p>
    <w:p w14:paraId="1FF05681" w14:textId="77777777" w:rsidR="009E1051" w:rsidRPr="009E1051" w:rsidRDefault="009E1051" w:rsidP="009E1051">
      <w:pPr>
        <w:pStyle w:val="ListParagraph"/>
        <w:numPr>
          <w:ilvl w:val="0"/>
          <w:numId w:val="4"/>
        </w:numPr>
        <w:rPr>
          <w:rFonts w:ascii="VIC" w:hAnsi="VIC"/>
        </w:rPr>
      </w:pPr>
      <w:r w:rsidRPr="009E1051">
        <w:rPr>
          <w:rFonts w:ascii="VIC" w:hAnsi="VIC"/>
        </w:rPr>
        <w:t xml:space="preserve">Students return to their original jigsaw groups and each ‘expert’ shares the summary of the main ideas from their text with the other members of their group. </w:t>
      </w:r>
    </w:p>
    <w:p w14:paraId="62334CB5" w14:textId="77777777" w:rsidR="009E1051" w:rsidRPr="0022720B" w:rsidRDefault="009E1051" w:rsidP="009E1051">
      <w:pPr>
        <w:pStyle w:val="BodyText"/>
        <w:spacing w:before="94"/>
        <w:rPr>
          <w:rFonts w:ascii="VIC" w:hAnsi="VIC"/>
        </w:rPr>
      </w:pPr>
    </w:p>
    <w:p w14:paraId="6E32748D" w14:textId="77777777" w:rsidR="00FB634B" w:rsidRPr="0022720B" w:rsidRDefault="00FB634B">
      <w:pPr>
        <w:rPr>
          <w:rFonts w:ascii="VIC" w:hAnsi="V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207"/>
      </w:tblGrid>
      <w:tr w:rsidR="000167BB" w:rsidRPr="0022720B" w14:paraId="1952F4C8" w14:textId="77777777" w:rsidTr="0050711E">
        <w:tc>
          <w:tcPr>
            <w:tcW w:w="1271" w:type="dxa"/>
          </w:tcPr>
          <w:p w14:paraId="3B8AD47F" w14:textId="68704ED5" w:rsidR="000167BB" w:rsidRPr="0022720B" w:rsidRDefault="00C36225">
            <w:pPr>
              <w:rPr>
                <w:rFonts w:ascii="VIC" w:hAnsi="VIC"/>
                <w:b/>
                <w:bCs/>
              </w:rPr>
            </w:pPr>
            <w:r w:rsidRPr="0022720B">
              <w:rPr>
                <w:rFonts w:ascii="VIC" w:hAnsi="VIC"/>
                <w:b/>
                <w:bCs/>
              </w:rPr>
              <w:t xml:space="preserve">Text </w:t>
            </w:r>
            <w:r w:rsidR="000167BB" w:rsidRPr="0022720B">
              <w:rPr>
                <w:rFonts w:ascii="VIC" w:hAnsi="VIC"/>
                <w:b/>
                <w:bCs/>
              </w:rPr>
              <w:t>1</w:t>
            </w:r>
          </w:p>
        </w:tc>
        <w:tc>
          <w:tcPr>
            <w:tcW w:w="9207" w:type="dxa"/>
          </w:tcPr>
          <w:p w14:paraId="5806D62A" w14:textId="3857DA48" w:rsidR="00B11271" w:rsidRPr="0022720B" w:rsidRDefault="00437AB3" w:rsidP="00C36225">
            <w:pPr>
              <w:rPr>
                <w:rFonts w:ascii="VIC" w:hAnsi="VIC"/>
              </w:rPr>
            </w:pPr>
            <w:r w:rsidRPr="0022720B">
              <w:rPr>
                <w:rFonts w:ascii="VIC" w:hAnsi="VIC"/>
              </w:rPr>
              <w:t xml:space="preserve">Jewish life in Europe before the Holocaust: </w:t>
            </w:r>
            <w:hyperlink r:id="rId10" w:history="1">
              <w:r w:rsidRPr="0022720B">
                <w:rPr>
                  <w:rStyle w:val="Hyperlink"/>
                  <w:rFonts w:ascii="VIC" w:hAnsi="VIC"/>
                </w:rPr>
                <w:t>https://encyclopedia.ushmm.org/content/en/article/jewish-life-in-europe-before-the-holocaust</w:t>
              </w:r>
            </w:hyperlink>
          </w:p>
        </w:tc>
      </w:tr>
      <w:tr w:rsidR="000167BB" w:rsidRPr="0022720B" w14:paraId="7A2C22F0" w14:textId="77777777" w:rsidTr="0050711E">
        <w:tc>
          <w:tcPr>
            <w:tcW w:w="1271" w:type="dxa"/>
          </w:tcPr>
          <w:p w14:paraId="1E85693C" w14:textId="75EC8A4B" w:rsidR="000167BB" w:rsidRPr="0022720B" w:rsidRDefault="00C36225">
            <w:pPr>
              <w:rPr>
                <w:rFonts w:ascii="VIC" w:hAnsi="VIC"/>
                <w:b/>
                <w:bCs/>
              </w:rPr>
            </w:pPr>
            <w:r w:rsidRPr="0022720B">
              <w:rPr>
                <w:rFonts w:ascii="VIC" w:hAnsi="VIC"/>
                <w:b/>
                <w:bCs/>
              </w:rPr>
              <w:t xml:space="preserve">Text </w:t>
            </w:r>
            <w:r w:rsidR="000167BB" w:rsidRPr="0022720B">
              <w:rPr>
                <w:rFonts w:ascii="VIC" w:hAnsi="VIC"/>
                <w:b/>
                <w:bCs/>
              </w:rPr>
              <w:t>2</w:t>
            </w:r>
          </w:p>
        </w:tc>
        <w:tc>
          <w:tcPr>
            <w:tcW w:w="9207" w:type="dxa"/>
          </w:tcPr>
          <w:p w14:paraId="7F22EEB2" w14:textId="32DB20D0" w:rsidR="00B11271" w:rsidRPr="0022720B" w:rsidRDefault="00437AB3">
            <w:pPr>
              <w:rPr>
                <w:rFonts w:ascii="VIC" w:hAnsi="VIC"/>
              </w:rPr>
            </w:pPr>
            <w:r w:rsidRPr="0022720B">
              <w:rPr>
                <w:rFonts w:ascii="VIC" w:hAnsi="VIC"/>
              </w:rPr>
              <w:t xml:space="preserve">Antisemitism: </w:t>
            </w:r>
            <w:hyperlink r:id="rId11" w:history="1">
              <w:r w:rsidR="00B11271" w:rsidRPr="0022720B">
                <w:rPr>
                  <w:rStyle w:val="Hyperlink"/>
                  <w:rFonts w:ascii="VIC" w:hAnsi="VIC"/>
                </w:rPr>
                <w:t>https://encyclopedia.ushmm.org/content/en/article/antisemitism-1</w:t>
              </w:r>
            </w:hyperlink>
            <w:r w:rsidR="00B11271" w:rsidRPr="0022720B">
              <w:rPr>
                <w:rFonts w:ascii="VIC" w:hAnsi="VIC"/>
              </w:rPr>
              <w:t xml:space="preserve"> </w:t>
            </w:r>
            <w:r w:rsidR="007A1000" w:rsidRPr="0022720B">
              <w:rPr>
                <w:rFonts w:ascii="VIC" w:hAnsi="VIC"/>
              </w:rPr>
              <w:t xml:space="preserve"> </w:t>
            </w:r>
          </w:p>
        </w:tc>
      </w:tr>
      <w:tr w:rsidR="000167BB" w:rsidRPr="0022720B" w14:paraId="5C908A02" w14:textId="77777777" w:rsidTr="0050711E">
        <w:tc>
          <w:tcPr>
            <w:tcW w:w="1271" w:type="dxa"/>
          </w:tcPr>
          <w:p w14:paraId="0A455032" w14:textId="07AC119A" w:rsidR="000167BB" w:rsidRPr="0022720B" w:rsidRDefault="00C36225">
            <w:pPr>
              <w:rPr>
                <w:rFonts w:ascii="VIC" w:hAnsi="VIC"/>
                <w:b/>
                <w:bCs/>
              </w:rPr>
            </w:pPr>
            <w:r w:rsidRPr="0022720B">
              <w:rPr>
                <w:rFonts w:ascii="VIC" w:hAnsi="VIC"/>
                <w:b/>
                <w:bCs/>
              </w:rPr>
              <w:t xml:space="preserve">Text </w:t>
            </w:r>
            <w:r w:rsidR="000167BB" w:rsidRPr="0022720B">
              <w:rPr>
                <w:rFonts w:ascii="VIC" w:hAnsi="VIC"/>
                <w:b/>
                <w:bCs/>
              </w:rPr>
              <w:t>3</w:t>
            </w:r>
          </w:p>
        </w:tc>
        <w:tc>
          <w:tcPr>
            <w:tcW w:w="9207" w:type="dxa"/>
          </w:tcPr>
          <w:p w14:paraId="20223D25" w14:textId="16E42B5C" w:rsidR="00477440" w:rsidRPr="0022720B" w:rsidRDefault="00477440" w:rsidP="00B11271">
            <w:pPr>
              <w:rPr>
                <w:rFonts w:ascii="VIC" w:hAnsi="VIC"/>
              </w:rPr>
            </w:pPr>
            <w:r w:rsidRPr="0022720B">
              <w:rPr>
                <w:rFonts w:ascii="VIC" w:hAnsi="VIC"/>
              </w:rPr>
              <w:t xml:space="preserve">The Nuremberg Race Laws: </w:t>
            </w:r>
            <w:hyperlink r:id="rId12" w:history="1">
              <w:r w:rsidRPr="0022720B">
                <w:rPr>
                  <w:rStyle w:val="Hyperlink"/>
                  <w:rFonts w:ascii="VIC" w:hAnsi="VIC"/>
                </w:rPr>
                <w:t>https://encyclopedia.ushmm.org/content/en/article/the-nuremberg-race-laws</w:t>
              </w:r>
            </w:hyperlink>
            <w:r w:rsidRPr="0022720B">
              <w:rPr>
                <w:rFonts w:ascii="VIC" w:hAnsi="VIC"/>
              </w:rPr>
              <w:t xml:space="preserve"> </w:t>
            </w:r>
          </w:p>
        </w:tc>
      </w:tr>
      <w:tr w:rsidR="000167BB" w:rsidRPr="0022720B" w14:paraId="7D826772" w14:textId="77777777" w:rsidTr="0050711E">
        <w:tc>
          <w:tcPr>
            <w:tcW w:w="1271" w:type="dxa"/>
          </w:tcPr>
          <w:p w14:paraId="300B5933" w14:textId="23E868B0" w:rsidR="000167BB" w:rsidRPr="0022720B" w:rsidRDefault="00C36225">
            <w:pPr>
              <w:rPr>
                <w:rFonts w:ascii="VIC" w:hAnsi="VIC"/>
                <w:b/>
                <w:bCs/>
              </w:rPr>
            </w:pPr>
            <w:r w:rsidRPr="0022720B">
              <w:rPr>
                <w:rFonts w:ascii="VIC" w:hAnsi="VIC"/>
                <w:b/>
                <w:bCs/>
              </w:rPr>
              <w:t xml:space="preserve">Text </w:t>
            </w:r>
            <w:r w:rsidR="000167BB" w:rsidRPr="0022720B">
              <w:rPr>
                <w:rFonts w:ascii="VIC" w:hAnsi="VIC"/>
                <w:b/>
                <w:bCs/>
              </w:rPr>
              <w:t>4</w:t>
            </w:r>
          </w:p>
        </w:tc>
        <w:tc>
          <w:tcPr>
            <w:tcW w:w="9207" w:type="dxa"/>
          </w:tcPr>
          <w:p w14:paraId="3E69D7A3" w14:textId="0412D18C" w:rsidR="00505845" w:rsidRPr="0022720B" w:rsidRDefault="008B271B" w:rsidP="00477440">
            <w:pPr>
              <w:rPr>
                <w:rFonts w:ascii="VIC" w:hAnsi="VIC"/>
              </w:rPr>
            </w:pPr>
            <w:r w:rsidRPr="0022720B">
              <w:rPr>
                <w:rFonts w:ascii="VIC" w:hAnsi="VIC"/>
              </w:rPr>
              <w:t xml:space="preserve">Locating the </w:t>
            </w:r>
            <w:r w:rsidR="00505845" w:rsidRPr="0022720B">
              <w:rPr>
                <w:rFonts w:ascii="VIC" w:hAnsi="VIC"/>
              </w:rPr>
              <w:t xml:space="preserve">Victims: </w:t>
            </w:r>
            <w:hyperlink r:id="rId13" w:history="1">
              <w:r w:rsidR="00505845" w:rsidRPr="0022720B">
                <w:rPr>
                  <w:rStyle w:val="Hyperlink"/>
                  <w:rFonts w:ascii="VIC" w:hAnsi="VIC"/>
                </w:rPr>
                <w:t>https://encyclopedia.ushmm.org/content/en/article/locating-the-victims</w:t>
              </w:r>
            </w:hyperlink>
            <w:r w:rsidR="00505845" w:rsidRPr="0022720B">
              <w:rPr>
                <w:rFonts w:ascii="VIC" w:hAnsi="VIC"/>
              </w:rPr>
              <w:t xml:space="preserve"> </w:t>
            </w:r>
          </w:p>
        </w:tc>
      </w:tr>
    </w:tbl>
    <w:p w14:paraId="7E762A4E" w14:textId="77777777" w:rsidR="00DA21F6" w:rsidRDefault="00DA21F6">
      <w:pPr>
        <w:rPr>
          <w:rFonts w:ascii="VIC" w:hAnsi="VIC"/>
          <w:sz w:val="23"/>
          <w:szCs w:val="23"/>
        </w:rPr>
      </w:pPr>
    </w:p>
    <w:p w14:paraId="1E3DDBDD" w14:textId="77777777" w:rsidR="009E1051" w:rsidRPr="0022720B" w:rsidRDefault="009E1051">
      <w:pPr>
        <w:pStyle w:val="BodyText"/>
        <w:spacing w:before="94"/>
        <w:rPr>
          <w:rFonts w:ascii="VIC" w:hAnsi="VIC"/>
        </w:rPr>
      </w:pPr>
    </w:p>
    <w:sectPr w:rsidR="009E1051" w:rsidRPr="0022720B" w:rsidSect="0079494B">
      <w:footerReference w:type="default" r:id="rId14"/>
      <w:pgSz w:w="11906" w:h="16838"/>
      <w:pgMar w:top="709" w:right="709" w:bottom="567" w:left="709" w:header="709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D420" w14:textId="77777777" w:rsidR="00C87552" w:rsidRDefault="00C87552" w:rsidP="0079494B">
      <w:pPr>
        <w:spacing w:before="0"/>
      </w:pPr>
      <w:r>
        <w:separator/>
      </w:r>
    </w:p>
  </w:endnote>
  <w:endnote w:type="continuationSeparator" w:id="0">
    <w:p w14:paraId="7F453367" w14:textId="77777777" w:rsidR="00C87552" w:rsidRDefault="00C87552" w:rsidP="0079494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74AF" w14:textId="77777777" w:rsidR="0079494B" w:rsidRDefault="0079494B" w:rsidP="0079494B">
    <w:pPr>
      <w:pStyle w:val="BodyText"/>
      <w:spacing w:before="94"/>
      <w:ind w:left="454"/>
    </w:pPr>
    <w:r>
      <w:t>©</w:t>
    </w:r>
    <w:r>
      <w:rPr>
        <w:spacing w:val="-1"/>
      </w:rPr>
      <w:t xml:space="preserve"> </w:t>
    </w:r>
    <w:r>
      <w:t>Department</w:t>
    </w:r>
    <w:r>
      <w:rPr>
        <w:spacing w:val="-1"/>
      </w:rPr>
      <w:t xml:space="preserve"> </w:t>
    </w:r>
    <w:r>
      <w:t>of</w:t>
    </w:r>
    <w:r>
      <w:rPr>
        <w:spacing w:val="-1"/>
      </w:rPr>
      <w:t xml:space="preserve"> </w:t>
    </w:r>
    <w:r>
      <w:t>Education</w:t>
    </w:r>
    <w:r>
      <w:rPr>
        <w:spacing w:val="-1"/>
      </w:rPr>
      <w:t xml:space="preserve"> </w:t>
    </w:r>
    <w:r>
      <w:t>and</w:t>
    </w:r>
    <w:r>
      <w:rPr>
        <w:spacing w:val="-4"/>
      </w:rPr>
      <w:t xml:space="preserve"> </w:t>
    </w:r>
    <w:r>
      <w:t>Training</w:t>
    </w:r>
    <w:r>
      <w:rPr>
        <w:spacing w:val="2"/>
      </w:rPr>
      <w:t xml:space="preserve"> </w:t>
    </w:r>
    <w:hyperlink r:id="rId1">
      <w:r>
        <w:rPr>
          <w:color w:val="F59D00"/>
          <w:u w:val="thick" w:color="F59D00"/>
        </w:rPr>
        <w:t>CC</w:t>
      </w:r>
      <w:r>
        <w:rPr>
          <w:color w:val="F59D00"/>
          <w:spacing w:val="-1"/>
          <w:u w:val="thick" w:color="F59D00"/>
        </w:rPr>
        <w:t xml:space="preserve"> </w:t>
      </w:r>
      <w:r>
        <w:rPr>
          <w:color w:val="F59D00"/>
          <w:u w:val="thick" w:color="F59D00"/>
        </w:rPr>
        <w:t>BY</w:t>
      </w:r>
      <w:r>
        <w:rPr>
          <w:color w:val="F59D00"/>
          <w:spacing w:val="-5"/>
          <w:u w:val="thick" w:color="F59D00"/>
        </w:rPr>
        <w:t xml:space="preserve"> </w:t>
      </w:r>
      <w:r>
        <w:rPr>
          <w:color w:val="F59D00"/>
          <w:u w:val="thick" w:color="F59D00"/>
        </w:rPr>
        <w:t>4.0</w:t>
      </w:r>
    </w:hyperlink>
  </w:p>
  <w:p w14:paraId="0F54A85A" w14:textId="77777777" w:rsidR="0079494B" w:rsidRDefault="00794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F4D5" w14:textId="77777777" w:rsidR="00C87552" w:rsidRDefault="00C87552" w:rsidP="0079494B">
      <w:pPr>
        <w:spacing w:before="0"/>
      </w:pPr>
      <w:r>
        <w:separator/>
      </w:r>
    </w:p>
  </w:footnote>
  <w:footnote w:type="continuationSeparator" w:id="0">
    <w:p w14:paraId="10C95198" w14:textId="77777777" w:rsidR="00C87552" w:rsidRDefault="00C87552" w:rsidP="0079494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096"/>
    <w:multiLevelType w:val="hybridMultilevel"/>
    <w:tmpl w:val="5EF8E7F6"/>
    <w:lvl w:ilvl="0" w:tplc="6BF62F68">
      <w:start w:val="1"/>
      <w:numFmt w:val="decimal"/>
      <w:pStyle w:val="StageTitle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4720FE"/>
    <w:multiLevelType w:val="hybridMultilevel"/>
    <w:tmpl w:val="CF80F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65445"/>
    <w:multiLevelType w:val="hybridMultilevel"/>
    <w:tmpl w:val="345610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56CCC"/>
    <w:multiLevelType w:val="hybridMultilevel"/>
    <w:tmpl w:val="3E9EC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322962">
    <w:abstractNumId w:val="0"/>
  </w:num>
  <w:num w:numId="2" w16cid:durableId="217322983">
    <w:abstractNumId w:val="3"/>
  </w:num>
  <w:num w:numId="3" w16cid:durableId="1460489259">
    <w:abstractNumId w:val="1"/>
  </w:num>
  <w:num w:numId="4" w16cid:durableId="948388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DB"/>
    <w:rsid w:val="00005C73"/>
    <w:rsid w:val="000167BB"/>
    <w:rsid w:val="001D0782"/>
    <w:rsid w:val="0022720B"/>
    <w:rsid w:val="00250ECC"/>
    <w:rsid w:val="003C0290"/>
    <w:rsid w:val="003F1FD5"/>
    <w:rsid w:val="00431C49"/>
    <w:rsid w:val="00437AB3"/>
    <w:rsid w:val="004456B2"/>
    <w:rsid w:val="00477440"/>
    <w:rsid w:val="004B168A"/>
    <w:rsid w:val="00505845"/>
    <w:rsid w:val="0050711E"/>
    <w:rsid w:val="00553DCA"/>
    <w:rsid w:val="005649E0"/>
    <w:rsid w:val="005A1D5A"/>
    <w:rsid w:val="00670CBA"/>
    <w:rsid w:val="006B0D2C"/>
    <w:rsid w:val="006F164A"/>
    <w:rsid w:val="00706FC7"/>
    <w:rsid w:val="0078723F"/>
    <w:rsid w:val="0079494B"/>
    <w:rsid w:val="007A1000"/>
    <w:rsid w:val="007C0D44"/>
    <w:rsid w:val="007C46C5"/>
    <w:rsid w:val="007C4F30"/>
    <w:rsid w:val="007D7B5D"/>
    <w:rsid w:val="008075DB"/>
    <w:rsid w:val="008B271B"/>
    <w:rsid w:val="008B5CBE"/>
    <w:rsid w:val="009A26F4"/>
    <w:rsid w:val="009E1051"/>
    <w:rsid w:val="00A47345"/>
    <w:rsid w:val="00A502AF"/>
    <w:rsid w:val="00AB1DBB"/>
    <w:rsid w:val="00B11271"/>
    <w:rsid w:val="00B232E9"/>
    <w:rsid w:val="00BE1AC4"/>
    <w:rsid w:val="00C36225"/>
    <w:rsid w:val="00C87552"/>
    <w:rsid w:val="00D0257C"/>
    <w:rsid w:val="00D22540"/>
    <w:rsid w:val="00D66766"/>
    <w:rsid w:val="00D721D7"/>
    <w:rsid w:val="00DA21F6"/>
    <w:rsid w:val="00DA3E15"/>
    <w:rsid w:val="00DB538F"/>
    <w:rsid w:val="00F556DB"/>
    <w:rsid w:val="00FB3F51"/>
    <w:rsid w:val="00F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FE9D5"/>
  <w15:chartTrackingRefBased/>
  <w15:docId w15:val="{F9E8BD08-C352-4A4C-82C9-B711C1F1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DB"/>
    <w:pPr>
      <w:spacing w:before="240" w:after="0" w:line="240" w:lineRule="auto"/>
    </w:pPr>
    <w:rPr>
      <w:rFonts w:eastAsiaTheme="minorEastAsia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6DB"/>
    <w:pPr>
      <w:keepNext/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before="36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6DB"/>
    <w:rPr>
      <w:rFonts w:eastAsiaTheme="minorEastAsia" w:cstheme="minorHAnsi"/>
      <w:caps/>
      <w:color w:val="FFFFFF" w:themeColor="background1"/>
      <w:spacing w:val="15"/>
      <w:sz w:val="24"/>
      <w:shd w:val="clear" w:color="auto" w:fill="418AB3" w:themeFill="accent1"/>
    </w:rPr>
  </w:style>
  <w:style w:type="paragraph" w:customStyle="1" w:styleId="StageTitle">
    <w:name w:val="Stage Title"/>
    <w:basedOn w:val="Heading2"/>
    <w:link w:val="StageTitleChar"/>
    <w:qFormat/>
    <w:rsid w:val="00F556DB"/>
    <w:pPr>
      <w:keepLines w:val="0"/>
      <w:numPr>
        <w:numId w:val="1"/>
      </w:numPr>
      <w:pBdr>
        <w:top w:val="single" w:sz="24" w:space="0" w:color="B0D0E2" w:themeColor="accent1" w:themeTint="66"/>
        <w:left w:val="single" w:sz="24" w:space="0" w:color="B0D0E2" w:themeColor="accent1" w:themeTint="66"/>
        <w:bottom w:val="single" w:sz="24" w:space="0" w:color="B0D0E2" w:themeColor="accent1" w:themeTint="66"/>
        <w:right w:val="single" w:sz="24" w:space="0" w:color="B0D0E2" w:themeColor="accent1" w:themeTint="66"/>
      </w:pBdr>
      <w:shd w:val="clear" w:color="auto" w:fill="B0D0E2" w:themeFill="accent1" w:themeFillTint="66"/>
      <w:spacing w:before="120"/>
      <w:ind w:left="357" w:hanging="357"/>
    </w:pPr>
    <w:rPr>
      <w:rFonts w:eastAsiaTheme="minorEastAsia" w:cstheme="minorHAnsi"/>
      <w:caps/>
      <w:spacing w:val="15"/>
      <w:sz w:val="24"/>
      <w:szCs w:val="24"/>
    </w:rPr>
  </w:style>
  <w:style w:type="character" w:customStyle="1" w:styleId="StageTitleChar">
    <w:name w:val="Stage Title Char"/>
    <w:basedOn w:val="Heading2Char"/>
    <w:link w:val="StageTitle"/>
    <w:rsid w:val="00F556DB"/>
    <w:rPr>
      <w:rFonts w:asciiTheme="majorHAnsi" w:eastAsiaTheme="minorEastAsia" w:hAnsiTheme="majorHAnsi" w:cstheme="minorHAnsi"/>
      <w:caps/>
      <w:color w:val="306785" w:themeColor="accent1" w:themeShade="BF"/>
      <w:spacing w:val="15"/>
      <w:sz w:val="24"/>
      <w:szCs w:val="24"/>
      <w:shd w:val="clear" w:color="auto" w:fill="B0D0E2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6DB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1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5C73"/>
    <w:pPr>
      <w:spacing w:after="0" w:line="240" w:lineRule="auto"/>
    </w:pPr>
    <w:rPr>
      <w:rFonts w:eastAsiaTheme="minorEastAsia" w:cs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005C7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456B2"/>
    <w:pPr>
      <w:widowControl w:val="0"/>
      <w:autoSpaceDE w:val="0"/>
      <w:autoSpaceDN w:val="0"/>
      <w:spacing w:before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456B2"/>
    <w:rPr>
      <w:rFonts w:ascii="Arial" w:eastAsia="Arial" w:hAnsi="Arial" w:cs="Arial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075DB"/>
    <w:rPr>
      <w:color w:val="F59E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5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494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9494B"/>
    <w:rPr>
      <w:rFonts w:eastAsiaTheme="minorEastAsia" w:cs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494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9494B"/>
    <w:rPr>
      <w:rFonts w:eastAsiaTheme="minorEastAsia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cyclopedia.ushmm.org/content/en/article/locating-the-victim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ncyclopedia.ushmm.org/content/en/article/the-nuremberg-race-law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cyclopedia.ushmm.org/content/en/article/antisemitism-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ncyclopedia.ushmm.org/content/en/article/jewish-life-in-europe-before-the-holocau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7DFD52E2E9449A1370DA227C51617" ma:contentTypeVersion="12" ma:contentTypeDescription="Create a new document." ma:contentTypeScope="" ma:versionID="4273b50580e57d00af5a1b57a7c0898c">
  <xsd:schema xmlns:xsd="http://www.w3.org/2001/XMLSchema" xmlns:xs="http://www.w3.org/2001/XMLSchema" xmlns:p="http://schemas.microsoft.com/office/2006/metadata/properties" xmlns:ns3="c10f4a48-0b78-43ad-8a22-6707c806cbc3" xmlns:ns4="8d614233-633e-4118-a80f-238a21e0937d" targetNamespace="http://schemas.microsoft.com/office/2006/metadata/properties" ma:root="true" ma:fieldsID="ec340d7601cb3b04169cc044d119f9d9" ns3:_="" ns4:_="">
    <xsd:import namespace="c10f4a48-0b78-43ad-8a22-6707c806cbc3"/>
    <xsd:import namespace="8d614233-633e-4118-a80f-238a21e0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f4a48-0b78-43ad-8a22-6707c806c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233-633e-4118-a80f-238a21e0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8F2E5-6BB2-4709-8D75-CD7EB34FD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f4a48-0b78-43ad-8a22-6707c806cbc3"/>
    <ds:schemaRef ds:uri="8d614233-633e-4118-a80f-238a21e0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6E739-BC6D-402D-9E92-476B18E03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631C0-579E-43AA-9731-0D6B10097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Andrew S</dc:creator>
  <cp:keywords/>
  <dc:description/>
  <cp:lastModifiedBy>Samantha Cunningham</cp:lastModifiedBy>
  <cp:revision>30</cp:revision>
  <dcterms:created xsi:type="dcterms:W3CDTF">2022-07-07T21:48:00Z</dcterms:created>
  <dcterms:modified xsi:type="dcterms:W3CDTF">2022-07-07T22:09:00Z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0x0101006EF7DFD52E2E9449A1370DA227C51617</vt:lpwstr>
  </property>
</Properties>
</file>