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ABB1F49" w14:textId="2705FE51" w:rsidR="00057FEF" w:rsidRDefault="003C37F4" w:rsidP="00C73F3F">
      <w:pPr>
        <w:pStyle w:val="Nadpisvelk"/>
        <w:pBdr>
          <w:bottom w:val="none" w:sz="0" w:space="0" w:color="auto"/>
        </w:pBdr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B1A69C7" wp14:editId="2BFA3A34">
                <wp:simplePos x="0" y="0"/>
                <wp:positionH relativeFrom="column">
                  <wp:posOffset>-160655</wp:posOffset>
                </wp:positionH>
                <wp:positionV relativeFrom="paragraph">
                  <wp:posOffset>1270</wp:posOffset>
                </wp:positionV>
                <wp:extent cx="3907790" cy="274320"/>
                <wp:effectExtent l="0" t="0" r="16510" b="1143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79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95B58" w14:textId="3260D238" w:rsidR="00D31CF1" w:rsidRDefault="00D31CF1" w:rsidP="00D31CF1">
                            <w:r w:rsidRPr="00D31CF1">
                              <w:rPr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</w:rPr>
                              <w:t xml:space="preserve">Příloha č. </w:t>
                            </w:r>
                            <w:r w:rsidR="007C5B6B">
                              <w:rPr>
                                <w:iCs/>
                              </w:rPr>
                              <w:t>1 zadávací dokumentace</w:t>
                            </w:r>
                            <w:r>
                              <w:rPr>
                                <w:iCs/>
                              </w:rPr>
                              <w:t>:</w:t>
                            </w:r>
                            <w:r w:rsidRPr="00794D73">
                              <w:t xml:space="preserve"> </w:t>
                            </w:r>
                            <w:r>
                              <w:tab/>
                              <w:t>Statut soutěže Víno Jihomoravského kraje 2018</w:t>
                            </w:r>
                          </w:p>
                          <w:p w14:paraId="1C723E59" w14:textId="77777777" w:rsidR="00865526" w:rsidRDefault="008655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A69C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2.65pt;margin-top:.1pt;width:307.7pt;height:21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">
                <v:textbox>
                  <w:txbxContent>
                    <w:p w14:paraId="7D395B58" w14:textId="3260D238" w:rsidR="00D31CF1" w:rsidRDefault="00D31CF1" w:rsidP="00D31CF1">
                      <w:r w:rsidRPr="00D31CF1">
                        <w:rPr>
                          <w:iCs/>
                        </w:rPr>
                        <w:t xml:space="preserve"> </w:t>
                      </w:r>
                      <w:r>
                        <w:rPr>
                          <w:iCs/>
                        </w:rPr>
                        <w:t xml:space="preserve">Příloha č. </w:t>
                      </w:r>
                      <w:r w:rsidR="007C5B6B">
                        <w:rPr>
                          <w:iCs/>
                        </w:rPr>
                        <w:t>1 zadávací dokumentace</w:t>
                      </w:r>
                      <w:r>
                        <w:rPr>
                          <w:iCs/>
                        </w:rPr>
                        <w:t>:</w:t>
                      </w:r>
                      <w:r w:rsidRPr="00794D73">
                        <w:t xml:space="preserve"> </w:t>
                      </w:r>
                      <w:r>
                        <w:tab/>
                        <w:t>Statut soutěže Víno Jihomoravského kraje 2018</w:t>
                      </w:r>
                    </w:p>
                    <w:p w14:paraId="1C723E59" w14:textId="77777777" w:rsidR="00865526" w:rsidRDefault="0086552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w:drawing>
          <wp:inline distT="0" distB="0" distL="0" distR="0" wp14:anchorId="2F58CDD6" wp14:editId="4BC61534">
            <wp:extent cx="4512310" cy="107759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AC1DFF" w14:textId="77777777" w:rsidR="00A8628C" w:rsidRPr="00C73F3F" w:rsidRDefault="00C73F3F" w:rsidP="00C73F3F">
      <w:pPr>
        <w:pStyle w:val="Nadpisvelk"/>
        <w:pBdr>
          <w:bottom w:val="none" w:sz="0" w:space="0" w:color="auto"/>
        </w:pBdr>
        <w:rPr>
          <w:lang w:val="cs-CZ"/>
        </w:rPr>
      </w:pPr>
      <w:r>
        <w:rPr>
          <w:lang w:val="cs-CZ"/>
        </w:rPr>
        <w:t>Statut soutěže vín</w:t>
      </w:r>
    </w:p>
    <w:p w14:paraId="71077761" w14:textId="77777777" w:rsidR="00C73F3F" w:rsidRPr="00F230A4" w:rsidRDefault="00057FEF" w:rsidP="00057FEF">
      <w:pPr>
        <w:pStyle w:val="Nadpisvelk"/>
        <w:tabs>
          <w:tab w:val="left" w:pos="670"/>
          <w:tab w:val="center" w:pos="4819"/>
        </w:tabs>
        <w:jc w:val="left"/>
        <w:rPr>
          <w:sz w:val="48"/>
          <w:lang w:val="cs-CZ"/>
        </w:rPr>
      </w:pPr>
      <w:r>
        <w:rPr>
          <w:sz w:val="48"/>
          <w:lang w:val="cs-CZ"/>
        </w:rPr>
        <w:tab/>
      </w:r>
      <w:r>
        <w:rPr>
          <w:sz w:val="48"/>
          <w:lang w:val="cs-CZ"/>
        </w:rPr>
        <w:tab/>
      </w:r>
      <w:r w:rsidR="00C73F3F" w:rsidRPr="00F230A4">
        <w:rPr>
          <w:sz w:val="48"/>
          <w:lang w:val="cs-CZ"/>
        </w:rPr>
        <w:t>VÍNO JIHOMORAVSKÉHO KRAJE</w:t>
      </w:r>
    </w:p>
    <w:p w14:paraId="467BC9D6" w14:textId="77777777" w:rsidR="00A8628C" w:rsidRPr="00D31CF1" w:rsidRDefault="00F17661">
      <w:pPr>
        <w:pStyle w:val="Nadpisvelk"/>
        <w:rPr>
          <w:lang w:val="cs-CZ"/>
        </w:rPr>
      </w:pPr>
      <w:r>
        <w:t>201</w:t>
      </w:r>
      <w:r w:rsidR="003C37F4">
        <w:rPr>
          <w:lang w:val="cs-CZ"/>
        </w:rPr>
        <w:t>9</w:t>
      </w:r>
    </w:p>
    <w:p w14:paraId="15FAEB7D" w14:textId="77777777" w:rsidR="00F230A4" w:rsidRDefault="00F230A4" w:rsidP="00F230A4">
      <w:pPr>
        <w:pStyle w:val="Nadpisstedn"/>
        <w:numPr>
          <w:ilvl w:val="0"/>
          <w:numId w:val="16"/>
        </w:numPr>
      </w:pPr>
      <w:r>
        <w:rPr>
          <w:lang w:val="cs-CZ"/>
        </w:rPr>
        <w:t xml:space="preserve">Organizátor </w:t>
      </w:r>
      <w:r>
        <w:t>soutěže</w:t>
      </w:r>
    </w:p>
    <w:p w14:paraId="5628DE98" w14:textId="291F740D" w:rsidR="00F230A4" w:rsidRDefault="00F230A4" w:rsidP="00ED5510">
      <w:r>
        <w:t>Soutěž je organizována Jihomoravským krajem, Žerotínovo nám. 449/3, 601 82 Brno</w:t>
      </w:r>
      <w:r w:rsidR="006B3200">
        <w:t>. Jihomoravský kraj zajistil</w:t>
      </w:r>
      <w:r>
        <w:t xml:space="preserve"> organizační spoluprác</w:t>
      </w:r>
      <w:r w:rsidR="006B3200">
        <w:t>i</w:t>
      </w:r>
      <w:r>
        <w:t xml:space="preserve"> </w:t>
      </w:r>
      <w:r w:rsidR="006B3200">
        <w:t xml:space="preserve">na realizaci soutěže </w:t>
      </w:r>
      <w:r>
        <w:t>Národní</w:t>
      </w:r>
      <w:r w:rsidR="006B3200">
        <w:t>m</w:t>
      </w:r>
      <w:r>
        <w:t xml:space="preserve"> vinařsk</w:t>
      </w:r>
      <w:r w:rsidR="006B3200">
        <w:t>ým</w:t>
      </w:r>
      <w:r>
        <w:t xml:space="preserve"> centr</w:t>
      </w:r>
      <w:r w:rsidR="006B3200">
        <w:t>em</w:t>
      </w:r>
      <w:r>
        <w:t xml:space="preserve">, </w:t>
      </w:r>
      <w:proofErr w:type="gramStart"/>
      <w:r>
        <w:t>o.p.s..</w:t>
      </w:r>
      <w:proofErr w:type="gramEnd"/>
    </w:p>
    <w:p w14:paraId="78F0524B" w14:textId="77777777" w:rsidR="002C47A2" w:rsidRDefault="002C47A2" w:rsidP="002C47A2">
      <w:pPr>
        <w:pStyle w:val="Nadpisstedn"/>
        <w:numPr>
          <w:ilvl w:val="0"/>
          <w:numId w:val="16"/>
        </w:numPr>
        <w:rPr>
          <w:lang w:val="cs-CZ"/>
        </w:rPr>
      </w:pPr>
      <w:r>
        <w:t>Poslání a cíl soutěže</w:t>
      </w:r>
    </w:p>
    <w:p w14:paraId="369208B9" w14:textId="77777777" w:rsidR="002C47A2" w:rsidRDefault="002C47A2" w:rsidP="00E4310E">
      <w:r>
        <w:t>Pos</w:t>
      </w:r>
      <w:r w:rsidR="00E4310E">
        <w:t>láním soutěže je zejména v</w:t>
      </w:r>
      <w:r>
        <w:t>ýběr a propagace vín, vybraných pro prezentační účely Jihomoravského kraje.</w:t>
      </w:r>
      <w:r w:rsidR="00B37A13">
        <w:t xml:space="preserve"> Vína s titulem „Víno Jihomoravského kraje 201</w:t>
      </w:r>
      <w:r w:rsidR="003C37F4">
        <w:t>9</w:t>
      </w:r>
      <w:r w:rsidR="00B37A13">
        <w:t xml:space="preserve">“ </w:t>
      </w:r>
      <w:r w:rsidR="00B37A13" w:rsidRPr="00CA000D">
        <w:t>budou nakoupena</w:t>
      </w:r>
      <w:r w:rsidR="00B37A13">
        <w:t xml:space="preserve"> organizátorem dle podmínek tohoto statutu pro prezentační účely Jihomoravského kraje a budou používány jako dary pro významné návštěvy Jihomoravského kraje.</w:t>
      </w:r>
    </w:p>
    <w:p w14:paraId="1B657641" w14:textId="77777777" w:rsidR="00A8628C" w:rsidRDefault="00A8628C" w:rsidP="00F230A4">
      <w:pPr>
        <w:pStyle w:val="Nadpisstedn"/>
        <w:numPr>
          <w:ilvl w:val="0"/>
          <w:numId w:val="16"/>
        </w:numPr>
      </w:pPr>
      <w:r>
        <w:t>Určení soutěže</w:t>
      </w:r>
    </w:p>
    <w:p w14:paraId="1E76554F" w14:textId="77777777" w:rsidR="00A8628C" w:rsidRDefault="00A8628C" w:rsidP="00C73F3F">
      <w:pPr>
        <w:rPr>
          <w:iCs/>
        </w:rPr>
      </w:pPr>
      <w:r>
        <w:t xml:space="preserve">Soutěž je otevřena pro vína vyrobená z hroznů révy vinné, majících původ ve </w:t>
      </w:r>
      <w:r w:rsidR="00C73F3F">
        <w:t>vinicích na území Jihomoravského kraje a zpracování hroznů (vinifikace) proběhla také na území Jihomoravského kraje</w:t>
      </w:r>
      <w:r w:rsidR="0049262B">
        <w:t xml:space="preserve">; v kategoriích a odrůdách definovaných v bodě 11. tohoto statutu. </w:t>
      </w:r>
      <w:r>
        <w:t xml:space="preserve">Soutěž je otevřena vínům, která </w:t>
      </w:r>
      <w:r w:rsidR="00F230A4">
        <w:t xml:space="preserve">splňují podmínky zákona </w:t>
      </w:r>
      <w:r w:rsidR="00F230A4" w:rsidRPr="00F230A4">
        <w:t xml:space="preserve">321/2004 Sb., o vinohradnictví a </w:t>
      </w:r>
      <w:r w:rsidR="00F230A4" w:rsidRPr="00F230A4">
        <w:rPr>
          <w:iCs/>
        </w:rPr>
        <w:t>vinařství</w:t>
      </w:r>
      <w:r w:rsidR="00F230A4">
        <w:rPr>
          <w:iCs/>
        </w:rPr>
        <w:t xml:space="preserve"> (</w:t>
      </w:r>
      <w:r w:rsidR="00263D9F">
        <w:rPr>
          <w:iCs/>
        </w:rPr>
        <w:t>v</w:t>
      </w:r>
      <w:r w:rsidR="00F230A4">
        <w:rPr>
          <w:iCs/>
        </w:rPr>
        <w:t>inařský zákon) a souvisejících právních předpisů.</w:t>
      </w:r>
    </w:p>
    <w:p w14:paraId="3CB38C4B" w14:textId="77777777" w:rsidR="004559F7" w:rsidRPr="004559F7" w:rsidRDefault="004559F7" w:rsidP="00C73F3F">
      <w:pPr>
        <w:rPr>
          <w:b/>
          <w:iCs/>
        </w:rPr>
      </w:pPr>
      <w:r w:rsidRPr="004559F7">
        <w:rPr>
          <w:b/>
          <w:iCs/>
        </w:rPr>
        <w:lastRenderedPageBreak/>
        <w:t>Každý výrobce může přihlásit pouze 2 vína ze své produkce.</w:t>
      </w:r>
    </w:p>
    <w:p w14:paraId="4F19F5DB" w14:textId="77777777" w:rsidR="00F230A4" w:rsidRPr="00F230A4" w:rsidRDefault="00F230A4" w:rsidP="00442499">
      <w:pPr>
        <w:spacing w:after="100"/>
        <w:rPr>
          <w:iCs/>
        </w:rPr>
      </w:pPr>
      <w:r w:rsidRPr="00F230A4">
        <w:rPr>
          <w:iCs/>
        </w:rPr>
        <w:t>Organizátor si vyhrazuje právo vyřadit vzorky vín přihlašovatele/výrobce, kterému bylo dle oficiálního sdělení Státní zemědělské a potravinářské inspekce (dále jen „SZPI“) na základě písemného dotazu pravomocně v posledních dvou letech před konáním soutěže prokázáno opakované porušení vinařského zákona v následujících postupech:</w:t>
      </w:r>
    </w:p>
    <w:p w14:paraId="31F9BFE1" w14:textId="77777777" w:rsidR="00F230A4" w:rsidRPr="00F230A4" w:rsidRDefault="00F230A4" w:rsidP="00442499">
      <w:pPr>
        <w:numPr>
          <w:ilvl w:val="0"/>
          <w:numId w:val="17"/>
        </w:numPr>
        <w:spacing w:after="100"/>
        <w:ind w:left="714" w:hanging="357"/>
        <w:rPr>
          <w:iCs/>
        </w:rPr>
      </w:pPr>
      <w:r w:rsidRPr="00F230A4">
        <w:rPr>
          <w:iCs/>
        </w:rPr>
        <w:t>Nepovolené enologické postupy (přídavek glycerolu, barviv, vody atd.; nadlimitní etanol původem z řepného cukru)</w:t>
      </w:r>
    </w:p>
    <w:p w14:paraId="5542F51A" w14:textId="77777777" w:rsidR="00F230A4" w:rsidRPr="00F230A4" w:rsidRDefault="00F230A4" w:rsidP="00442499">
      <w:pPr>
        <w:numPr>
          <w:ilvl w:val="0"/>
          <w:numId w:val="17"/>
        </w:numPr>
        <w:spacing w:after="100"/>
        <w:ind w:left="714" w:hanging="357"/>
        <w:rPr>
          <w:iCs/>
        </w:rPr>
      </w:pPr>
      <w:r w:rsidRPr="00F230A4">
        <w:rPr>
          <w:iCs/>
        </w:rPr>
        <w:t xml:space="preserve">Uvádění na trh produktů neznámého původu </w:t>
      </w:r>
    </w:p>
    <w:p w14:paraId="04C1C289" w14:textId="77777777" w:rsidR="00F230A4" w:rsidRDefault="00F230A4" w:rsidP="00F230A4">
      <w:pPr>
        <w:numPr>
          <w:ilvl w:val="0"/>
          <w:numId w:val="17"/>
        </w:numPr>
        <w:rPr>
          <w:iCs/>
        </w:rPr>
      </w:pPr>
      <w:r w:rsidRPr="00F230A4">
        <w:rPr>
          <w:iCs/>
        </w:rPr>
        <w:t>Uvádění na trh produktů nevyhovujícího geografického původu</w:t>
      </w:r>
    </w:p>
    <w:p w14:paraId="1850BE50" w14:textId="77777777" w:rsidR="000D4FC4" w:rsidRPr="00F230A4" w:rsidRDefault="00442499" w:rsidP="00442499">
      <w:pPr>
        <w:rPr>
          <w:iCs/>
        </w:rPr>
      </w:pPr>
      <w:r w:rsidRPr="00F230A4">
        <w:rPr>
          <w:iCs/>
        </w:rPr>
        <w:t>Organizátor si vyhrazuje právo vyřadit vzorky vín přihlašovatele/výrobce, kter</w:t>
      </w:r>
      <w:r>
        <w:rPr>
          <w:iCs/>
        </w:rPr>
        <w:t>ý nedodržel</w:t>
      </w:r>
      <w:r w:rsidR="000D4FC4">
        <w:rPr>
          <w:iCs/>
        </w:rPr>
        <w:t xml:space="preserve"> smluvní podmínk</w:t>
      </w:r>
      <w:r>
        <w:rPr>
          <w:iCs/>
        </w:rPr>
        <w:t>y v</w:t>
      </w:r>
      <w:r w:rsidR="00E91242">
        <w:t xml:space="preserve"> některém z předchozích </w:t>
      </w:r>
      <w:r>
        <w:rPr>
          <w:iCs/>
        </w:rPr>
        <w:t>roční</w:t>
      </w:r>
      <w:r w:rsidR="00E91242">
        <w:rPr>
          <w:iCs/>
        </w:rPr>
        <w:t>ků</w:t>
      </w:r>
      <w:r>
        <w:rPr>
          <w:iCs/>
        </w:rPr>
        <w:t xml:space="preserve"> </w:t>
      </w:r>
      <w:r w:rsidR="000D4FC4">
        <w:rPr>
          <w:iCs/>
        </w:rPr>
        <w:t>soutěž</w:t>
      </w:r>
      <w:r>
        <w:rPr>
          <w:iCs/>
        </w:rPr>
        <w:t>e</w:t>
      </w:r>
      <w:r w:rsidR="000D4FC4">
        <w:rPr>
          <w:iCs/>
        </w:rPr>
        <w:t xml:space="preserve"> Víno Jihomoravského kraje.</w:t>
      </w:r>
    </w:p>
    <w:p w14:paraId="6CA1D3E8" w14:textId="77777777" w:rsidR="00A8628C" w:rsidRDefault="00A8628C" w:rsidP="002C47A2">
      <w:pPr>
        <w:pStyle w:val="Nadpisstedn"/>
        <w:numPr>
          <w:ilvl w:val="0"/>
          <w:numId w:val="16"/>
        </w:numPr>
      </w:pPr>
      <w:r>
        <w:t>Minimální množství vína</w:t>
      </w:r>
    </w:p>
    <w:p w14:paraId="174B6B1D" w14:textId="77777777" w:rsidR="00A8628C" w:rsidRDefault="00F230A4" w:rsidP="00442499">
      <w:pPr>
        <w:spacing w:after="100"/>
      </w:pPr>
      <w:r>
        <w:t>Výrobce je oprávněn přihlásit víno pouze v případě, že je schopen garantovat dodání vína v množství:</w:t>
      </w:r>
    </w:p>
    <w:p w14:paraId="4358E684" w14:textId="77777777" w:rsidR="00F230A4" w:rsidRPr="002C47A2" w:rsidRDefault="00956909" w:rsidP="002C47A2">
      <w:pPr>
        <w:numPr>
          <w:ilvl w:val="0"/>
          <w:numId w:val="18"/>
        </w:numPr>
      </w:pPr>
      <w:r>
        <w:t>6</w:t>
      </w:r>
      <w:r w:rsidR="002C47A2">
        <w:t xml:space="preserve">00 láhví o objemu 0,75 l od </w:t>
      </w:r>
      <w:r w:rsidR="006B7C50">
        <w:t xml:space="preserve">1 </w:t>
      </w:r>
      <w:r w:rsidR="002C47A2">
        <w:t>druhu u bílých vín</w:t>
      </w:r>
    </w:p>
    <w:p w14:paraId="44902B85" w14:textId="77777777" w:rsidR="002C47A2" w:rsidRDefault="00956909" w:rsidP="002C47A2">
      <w:pPr>
        <w:numPr>
          <w:ilvl w:val="0"/>
          <w:numId w:val="18"/>
        </w:numPr>
      </w:pPr>
      <w:r>
        <w:t>3</w:t>
      </w:r>
      <w:r w:rsidR="002C47A2">
        <w:t xml:space="preserve">00 láhví o objemu 0,75 l od </w:t>
      </w:r>
      <w:r w:rsidR="006B7C50">
        <w:t xml:space="preserve">1 </w:t>
      </w:r>
      <w:r w:rsidR="002C47A2">
        <w:t>druhu u červených vín</w:t>
      </w:r>
    </w:p>
    <w:p w14:paraId="69E277CA" w14:textId="77777777" w:rsidR="002C47A2" w:rsidRPr="002C47A2" w:rsidRDefault="002C47A2" w:rsidP="002C47A2">
      <w:pPr>
        <w:pStyle w:val="Nadpisstedn"/>
        <w:rPr>
          <w:lang w:val="cs-CZ"/>
        </w:rPr>
      </w:pPr>
      <w:r>
        <w:rPr>
          <w:lang w:val="cs-CZ"/>
        </w:rPr>
        <w:t>5</w:t>
      </w:r>
      <w:r>
        <w:t>. Přihláška</w:t>
      </w:r>
      <w:r>
        <w:rPr>
          <w:lang w:val="cs-CZ"/>
        </w:rPr>
        <w:t xml:space="preserve"> </w:t>
      </w:r>
    </w:p>
    <w:p w14:paraId="301A5E7E" w14:textId="77777777" w:rsidR="002C47A2" w:rsidRDefault="002C47A2" w:rsidP="00B9515D">
      <w:r>
        <w:t xml:space="preserve">Účastník soutěže vyplní přihlášku s údaji o výrobci a o každém vzorku. Přihláška se vyplňuje elektronicky na webové adrese </w:t>
      </w:r>
      <w:hyperlink r:id="rId11" w:history="1">
        <w:r>
          <w:rPr>
            <w:rStyle w:val="Hypertextovodkaz"/>
          </w:rPr>
          <w:t>www.elwis.cz</w:t>
        </w:r>
      </w:hyperlink>
      <w:r>
        <w:t>. Přihláška musí obsahovat nejméně tyto údaje: jméno a přesná adresa přihlašovatele / výrobce, kontaktní údaje, označení odrůdy vína a/nebo kategorie (známková vína, sekt, speciální výběr), ročníku, přívlastku (pokud existuje), vinařské obce, popř. trati, obsah zbytkového cukru</w:t>
      </w:r>
      <w:r w:rsidR="00A26F62">
        <w:t xml:space="preserve">, </w:t>
      </w:r>
      <w:r>
        <w:t>určení čísla a velikosti šarže vína,</w:t>
      </w:r>
      <w:r w:rsidR="00A26F62">
        <w:t xml:space="preserve"> ze které je vzorek předkládán a dále </w:t>
      </w:r>
      <w:r w:rsidR="009F34B3">
        <w:t xml:space="preserve">nabídkovou </w:t>
      </w:r>
      <w:r w:rsidR="00A26F62">
        <w:t>cenu vč. DPH.</w:t>
      </w:r>
      <w:r w:rsidR="009F34B3" w:rsidRPr="009F34B3">
        <w:t xml:space="preserve"> </w:t>
      </w:r>
      <w:r w:rsidR="009F34B3">
        <w:t xml:space="preserve"> </w:t>
      </w:r>
    </w:p>
    <w:p w14:paraId="7EA7E701" w14:textId="2EEA23F4" w:rsidR="002C47A2" w:rsidRDefault="002C47A2" w:rsidP="002C47A2">
      <w:r>
        <w:t xml:space="preserve">Vytištěná a </w:t>
      </w:r>
      <w:r w:rsidR="00BB57E2">
        <w:t xml:space="preserve">osobou oprávněnou jednat za dodavatele </w:t>
      </w:r>
      <w:r>
        <w:t xml:space="preserve">podepsaná přihláška musí být podána </w:t>
      </w:r>
      <w:r w:rsidRPr="00D73F3F">
        <w:t xml:space="preserve">spolu se vzorky vín </w:t>
      </w:r>
      <w:r w:rsidR="005706DB">
        <w:t xml:space="preserve">v termínu od </w:t>
      </w:r>
      <w:r w:rsidR="00B579B7">
        <w:t>01. října 2019</w:t>
      </w:r>
      <w:r w:rsidR="005706DB">
        <w:t xml:space="preserve"> 2019</w:t>
      </w:r>
      <w:r w:rsidRPr="00D73F3F">
        <w:t xml:space="preserve"> do </w:t>
      </w:r>
      <w:r w:rsidR="00523393" w:rsidRPr="00A26B30">
        <w:t>21</w:t>
      </w:r>
      <w:r w:rsidR="00A26F62" w:rsidRPr="00A26B30">
        <w:rPr>
          <w:color w:val="000000"/>
        </w:rPr>
        <w:t xml:space="preserve">. </w:t>
      </w:r>
      <w:r w:rsidR="00523393" w:rsidRPr="00A26B30">
        <w:rPr>
          <w:color w:val="000000"/>
        </w:rPr>
        <w:t>října</w:t>
      </w:r>
      <w:r w:rsidR="00A26F62" w:rsidRPr="00A26B30">
        <w:rPr>
          <w:color w:val="000000"/>
        </w:rPr>
        <w:t xml:space="preserve"> </w:t>
      </w:r>
      <w:r w:rsidRPr="00A26B30">
        <w:rPr>
          <w:color w:val="000000"/>
        </w:rPr>
        <w:t>201</w:t>
      </w:r>
      <w:r w:rsidR="00523393" w:rsidRPr="00A26B30">
        <w:rPr>
          <w:color w:val="000000"/>
        </w:rPr>
        <w:t>9</w:t>
      </w:r>
      <w:r w:rsidR="00B9515D" w:rsidRPr="00A26B30">
        <w:rPr>
          <w:color w:val="000000"/>
        </w:rPr>
        <w:t xml:space="preserve"> do 16:00 hod</w:t>
      </w:r>
      <w:r>
        <w:rPr>
          <w:color w:val="000000"/>
        </w:rPr>
        <w:t>.</w:t>
      </w:r>
      <w:r>
        <w:t xml:space="preserve"> Součástí přihlášky je kopie základního analytického </w:t>
      </w:r>
      <w:r w:rsidRPr="007D7955">
        <w:t>rozboru (analytický rozbor lze doplnit k přihlašovanému vínu v přihlašovacím systému) a dokladu o původu vína:</w:t>
      </w:r>
    </w:p>
    <w:p w14:paraId="0A560C66" w14:textId="77777777" w:rsidR="002C47A2" w:rsidRPr="002C47A2" w:rsidRDefault="002C47A2" w:rsidP="002C47A2">
      <w:pPr>
        <w:numPr>
          <w:ilvl w:val="0"/>
          <w:numId w:val="19"/>
        </w:numPr>
      </w:pPr>
      <w:r w:rsidRPr="002C47A2">
        <w:t>kopie registrace vinice (u vlastních hroznů), nebo</w:t>
      </w:r>
    </w:p>
    <w:p w14:paraId="2226626C" w14:textId="77777777" w:rsidR="002C47A2" w:rsidRPr="002C47A2" w:rsidRDefault="002C47A2" w:rsidP="002C47A2">
      <w:pPr>
        <w:numPr>
          <w:ilvl w:val="0"/>
          <w:numId w:val="19"/>
        </w:numPr>
      </w:pPr>
      <w:r w:rsidRPr="002C47A2">
        <w:t>kopie výkupního lísku, nebo</w:t>
      </w:r>
    </w:p>
    <w:p w14:paraId="359A9A02" w14:textId="77777777" w:rsidR="002C47A2" w:rsidRDefault="002C47A2" w:rsidP="002C47A2">
      <w:pPr>
        <w:numPr>
          <w:ilvl w:val="0"/>
          <w:numId w:val="19"/>
        </w:numPr>
      </w:pPr>
      <w:r w:rsidRPr="002C47A2">
        <w:lastRenderedPageBreak/>
        <w:t>u jakostních vín (vč. vín s přívlastkem) kopie rozhodnutí o zatřídění vína na SZPI (lze nahradit vyplněním evidenčního čísla jakosti v on-line přihlášce)</w:t>
      </w:r>
      <w:r w:rsidR="00442499">
        <w:t>.</w:t>
      </w:r>
    </w:p>
    <w:p w14:paraId="0713113A" w14:textId="77777777" w:rsidR="002C47A2" w:rsidRDefault="002C47A2" w:rsidP="002C47A2">
      <w:r>
        <w:t>Jestliže stejný účastník přihlásí více vín se stejným označením, musí být jednotlivá vína vždy odděleně vyráběna a skladována, a musí být uvedeny jako rozdílné šarže nebo musí prokazatelně pocházet z různých partií hroznů (rozdílné vinice na registraci, rozdílné ověření cukernatosti hroznů).</w:t>
      </w:r>
    </w:p>
    <w:p w14:paraId="01889107" w14:textId="77777777" w:rsidR="002C47A2" w:rsidRDefault="002C47A2" w:rsidP="002C47A2">
      <w:r>
        <w:t>Nesprávné údaje na přihlášce vylučují příslušné víno ze soutěže. V případě úmyslného nepravdivého uvedení údajů budou veškerá vína daného účastníka vyloučena ze soutěže. Organizátor má právo na vyloučení vzorků, které nesplňují tento statut.</w:t>
      </w:r>
    </w:p>
    <w:p w14:paraId="6F305A6F" w14:textId="77777777" w:rsidR="0010729F" w:rsidRDefault="0010729F">
      <w:r w:rsidRPr="0010729F">
        <w:rPr>
          <w:lang w:val="x-none"/>
        </w:rPr>
        <w:t xml:space="preserve">Soutěžící vydá bezplatně </w:t>
      </w:r>
      <w:r w:rsidR="002C47A2">
        <w:t>3</w:t>
      </w:r>
      <w:r w:rsidRPr="0010729F">
        <w:rPr>
          <w:lang w:val="x-none"/>
        </w:rPr>
        <w:t xml:space="preserve"> lahv</w:t>
      </w:r>
      <w:r w:rsidR="00FA53F8">
        <w:t>e</w:t>
      </w:r>
      <w:r w:rsidRPr="0010729F">
        <w:rPr>
          <w:lang w:val="x-none"/>
        </w:rPr>
        <w:t xml:space="preserve"> (o </w:t>
      </w:r>
      <w:r w:rsidR="002C47A2">
        <w:t xml:space="preserve">objemu </w:t>
      </w:r>
      <w:r w:rsidRPr="0010729F">
        <w:rPr>
          <w:lang w:val="x-none"/>
        </w:rPr>
        <w:t>0,75</w:t>
      </w:r>
      <w:r w:rsidR="00FA53F8">
        <w:t xml:space="preserve"> l</w:t>
      </w:r>
      <w:r w:rsidR="00163B19">
        <w:t>)</w:t>
      </w:r>
      <w:r w:rsidRPr="0010729F">
        <w:rPr>
          <w:lang w:val="x-none"/>
        </w:rPr>
        <w:t xml:space="preserve"> </w:t>
      </w:r>
      <w:r w:rsidR="00A02F5B">
        <w:t xml:space="preserve">každého přihlášeného vína </w:t>
      </w:r>
      <w:r w:rsidRPr="0010729F">
        <w:rPr>
          <w:lang w:val="x-none"/>
        </w:rPr>
        <w:t xml:space="preserve">do vlastnictví organizátora soutěže pro potřeby senzorického posouzení. </w:t>
      </w:r>
    </w:p>
    <w:p w14:paraId="2D0A4A90" w14:textId="77777777" w:rsidR="00A8628C" w:rsidRDefault="00A8628C">
      <w:r>
        <w:t xml:space="preserve">Každá láhev musí být soutěžícím označena </w:t>
      </w:r>
      <w:r w:rsidR="002C47A2">
        <w:t>v souladu s vinařským zákonem.</w:t>
      </w:r>
    </w:p>
    <w:p w14:paraId="7EDB4D73" w14:textId="77777777" w:rsidR="00A8628C" w:rsidRDefault="002C47A2">
      <w:r>
        <w:t>Soutěžní poplatek za ohodnocení vín není vyžadován.</w:t>
      </w:r>
    </w:p>
    <w:p w14:paraId="3E373E7F" w14:textId="77777777" w:rsidR="00A8628C" w:rsidRDefault="00A8628C" w:rsidP="00F63661">
      <w:pPr>
        <w:pStyle w:val="Nadpisstedn"/>
        <w:numPr>
          <w:ilvl w:val="0"/>
          <w:numId w:val="20"/>
        </w:numPr>
      </w:pPr>
      <w:r>
        <w:t>Odběr vzorků</w:t>
      </w:r>
    </w:p>
    <w:p w14:paraId="68656294" w14:textId="79FAB9B6" w:rsidR="00F63661" w:rsidRPr="0010729F" w:rsidRDefault="00F63661" w:rsidP="00F63661">
      <w:pPr>
        <w:rPr>
          <w:snapToGrid w:val="0"/>
        </w:rPr>
      </w:pPr>
      <w:bookmarkStart w:id="1" w:name="_Hlk520373833"/>
      <w:r w:rsidRPr="00D73F3F">
        <w:t xml:space="preserve">Přihlašovatel doručí vzorky vín a přihlášku, vč. příloh </w:t>
      </w:r>
      <w:r w:rsidR="005A126B" w:rsidRPr="00D73F3F">
        <w:t>do budovy „Centrum Excelence“, ul. Sobotní č. 1029, VALTICE</w:t>
      </w:r>
      <w:r w:rsidR="005A126B">
        <w:t xml:space="preserve"> v termínu </w:t>
      </w:r>
      <w:r w:rsidR="006E5D3C">
        <w:t xml:space="preserve">od 01. října 2019 do </w:t>
      </w:r>
      <w:r w:rsidR="00523393" w:rsidRPr="00A26B30">
        <w:t>21</w:t>
      </w:r>
      <w:r w:rsidRPr="00A26B30">
        <w:t xml:space="preserve">. </w:t>
      </w:r>
      <w:r w:rsidR="003C37F4" w:rsidRPr="00A26B30">
        <w:t xml:space="preserve">října </w:t>
      </w:r>
      <w:r w:rsidRPr="00A26B30">
        <w:t>201</w:t>
      </w:r>
      <w:r w:rsidR="003C37F4" w:rsidRPr="00A26B30">
        <w:t>9</w:t>
      </w:r>
      <w:r w:rsidRPr="00D73F3F">
        <w:t xml:space="preserve"> </w:t>
      </w:r>
      <w:r w:rsidR="005A126B">
        <w:t xml:space="preserve">v pracovní dny </w:t>
      </w:r>
      <w:r w:rsidR="005A126B" w:rsidRPr="00D73F3F">
        <w:t>od 8.00 do 16.00</w:t>
      </w:r>
      <w:r w:rsidR="00392442">
        <w:t> </w:t>
      </w:r>
      <w:r w:rsidR="005A126B" w:rsidRPr="00D73F3F">
        <w:t>hod</w:t>
      </w:r>
      <w:r w:rsidRPr="00D73F3F">
        <w:t>.</w:t>
      </w:r>
      <w:r w:rsidR="00BB57E2">
        <w:t xml:space="preserve"> </w:t>
      </w:r>
    </w:p>
    <w:bookmarkEnd w:id="1"/>
    <w:p w14:paraId="1483BCCE" w14:textId="77777777" w:rsidR="00A8628C" w:rsidRDefault="00A8628C" w:rsidP="00F63661">
      <w:pPr>
        <w:pStyle w:val="Nadpisstedn"/>
        <w:numPr>
          <w:ilvl w:val="0"/>
          <w:numId w:val="20"/>
        </w:numPr>
      </w:pPr>
      <w:r>
        <w:t>Termín a místo hodnocení</w:t>
      </w:r>
    </w:p>
    <w:p w14:paraId="1CEEFA0A" w14:textId="77777777" w:rsidR="00A8628C" w:rsidRDefault="00A8628C">
      <w:r>
        <w:t>Hodnocení vín proběhne dne</w:t>
      </w:r>
      <w:r w:rsidR="00C35545">
        <w:rPr>
          <w:color w:val="000000"/>
        </w:rPr>
        <w:t xml:space="preserve"> </w:t>
      </w:r>
      <w:r w:rsidR="00355276" w:rsidRPr="00A26B30">
        <w:rPr>
          <w:color w:val="000000"/>
        </w:rPr>
        <w:t>24</w:t>
      </w:r>
      <w:r w:rsidR="00F63661" w:rsidRPr="00A26B30">
        <w:rPr>
          <w:color w:val="000000"/>
        </w:rPr>
        <w:t xml:space="preserve">. </w:t>
      </w:r>
      <w:r w:rsidR="003C37F4" w:rsidRPr="00A26B30">
        <w:rPr>
          <w:color w:val="000000"/>
        </w:rPr>
        <w:t xml:space="preserve">října </w:t>
      </w:r>
      <w:r w:rsidR="00F17661" w:rsidRPr="00A26B30">
        <w:rPr>
          <w:color w:val="000000"/>
        </w:rPr>
        <w:t>201</w:t>
      </w:r>
      <w:r w:rsidR="003C37F4" w:rsidRPr="00A26B30">
        <w:rPr>
          <w:color w:val="000000"/>
        </w:rPr>
        <w:t>9</w:t>
      </w:r>
      <w:r w:rsidRPr="00D73F3F">
        <w:t xml:space="preserve"> v</w:t>
      </w:r>
      <w:r w:rsidR="00F63661" w:rsidRPr="00D73F3F">
        <w:t> budově</w:t>
      </w:r>
      <w:r w:rsidR="00F63661">
        <w:t xml:space="preserve"> „Centrum Excelence“ ve Valticích.</w:t>
      </w:r>
    </w:p>
    <w:p w14:paraId="16FB04E3" w14:textId="77777777" w:rsidR="00A8628C" w:rsidRDefault="00A8628C" w:rsidP="00F63661">
      <w:pPr>
        <w:pStyle w:val="Nadpisstedn"/>
        <w:numPr>
          <w:ilvl w:val="0"/>
          <w:numId w:val="20"/>
        </w:numPr>
      </w:pPr>
      <w:r>
        <w:t>Hodnotící komise</w:t>
      </w:r>
    </w:p>
    <w:p w14:paraId="36F7353C" w14:textId="5A01F0F2" w:rsidR="00A8628C" w:rsidRDefault="00A8628C">
      <w:r>
        <w:t>Členy komise</w:t>
      </w:r>
      <w:r w:rsidR="00226080">
        <w:t xml:space="preserve"> (degustátory)</w:t>
      </w:r>
      <w:r>
        <w:t xml:space="preserve"> </w:t>
      </w:r>
      <w:r w:rsidRPr="00575F31">
        <w:t>jmenuje</w:t>
      </w:r>
      <w:r w:rsidR="00DC4CBF" w:rsidRPr="00575F31">
        <w:t xml:space="preserve"> </w:t>
      </w:r>
      <w:r w:rsidR="00575F31" w:rsidRPr="00F614D3">
        <w:t>Národní vinařské centrum, o.p.s. v rámci zajištění organizace soutěže.</w:t>
      </w:r>
      <w:r w:rsidR="00F63661" w:rsidRPr="00575F31">
        <w:t xml:space="preserve"> </w:t>
      </w:r>
      <w:r w:rsidRPr="00575F31">
        <w:t>Komise se skládají nej</w:t>
      </w:r>
      <w:r>
        <w:t xml:space="preserve">méně z 5 členů. </w:t>
      </w:r>
      <w:r w:rsidR="00F63661">
        <w:t xml:space="preserve">Nadpoloviční většina členů </w:t>
      </w:r>
      <w:r>
        <w:t>komise musí mít platné senzorické zkoušky SZPI nebo podle ČSN ISO 8586-2</w:t>
      </w:r>
      <w:r w:rsidR="001942B0">
        <w:t xml:space="preserve">. </w:t>
      </w:r>
      <w:r w:rsidR="00F63661">
        <w:t>Práci komise řídí předseda komise, jehož hodnocení se započítává do celkového hodnocení komise.</w:t>
      </w:r>
    </w:p>
    <w:p w14:paraId="44C1FE30" w14:textId="77777777" w:rsidR="00A8628C" w:rsidRDefault="00A8628C" w:rsidP="0049262B">
      <w:pPr>
        <w:pStyle w:val="Nadpisstedn"/>
        <w:numPr>
          <w:ilvl w:val="0"/>
          <w:numId w:val="20"/>
        </w:numPr>
      </w:pPr>
      <w:r>
        <w:t>Podmínky hodnocení</w:t>
      </w:r>
    </w:p>
    <w:p w14:paraId="61414489" w14:textId="77777777" w:rsidR="00A8628C" w:rsidRDefault="00A8628C">
      <w:r>
        <w:t>Podmínky pro hodnocení vín:</w:t>
      </w:r>
    </w:p>
    <w:p w14:paraId="1FEF3874" w14:textId="77777777" w:rsidR="00A8628C" w:rsidRDefault="00A8628C">
      <w:pPr>
        <w:pStyle w:val="zaa"/>
      </w:pPr>
      <w:r>
        <w:t xml:space="preserve">Místnost světlá, dobře větraná o teplotě </w:t>
      </w:r>
      <w:proofErr w:type="gramStart"/>
      <w:r>
        <w:t>18</w:t>
      </w:r>
      <w:r w:rsidR="00CF10D1">
        <w:t xml:space="preserve"> </w:t>
      </w:r>
      <w:r>
        <w:t>-</w:t>
      </w:r>
      <w:r w:rsidR="00CF10D1">
        <w:t xml:space="preserve"> </w:t>
      </w:r>
      <w:r>
        <w:t>22</w:t>
      </w:r>
      <w:proofErr w:type="gramEnd"/>
      <w:r>
        <w:t xml:space="preserve"> °C, zajištěná proti vedlejším vlivům</w:t>
      </w:r>
    </w:p>
    <w:p w14:paraId="37557735" w14:textId="77777777" w:rsidR="00A8628C" w:rsidRDefault="00A8628C">
      <w:pPr>
        <w:pStyle w:val="zaa"/>
      </w:pPr>
      <w:r>
        <w:lastRenderedPageBreak/>
        <w:t>Každý degustátor má k dispozici samostatný degustační stůl chráněný proti rušivým vlivům</w:t>
      </w:r>
    </w:p>
    <w:p w14:paraId="64CB0784" w14:textId="77777777" w:rsidR="00A8628C" w:rsidRDefault="00A8628C">
      <w:pPr>
        <w:pStyle w:val="zaa"/>
      </w:pPr>
      <w:r>
        <w:t xml:space="preserve">Nalévání a podávání vín musí probíhat tak, aby degustátor neměl </w:t>
      </w:r>
      <w:proofErr w:type="gramStart"/>
      <w:r>
        <w:t>možnost</w:t>
      </w:r>
      <w:proofErr w:type="gramEnd"/>
      <w:r>
        <w:t xml:space="preserve"> jakkoliv poznat identitu předkládaného vzorku</w:t>
      </w:r>
    </w:p>
    <w:p w14:paraId="5BEC35EF" w14:textId="77777777" w:rsidR="00A8628C" w:rsidRDefault="00A8628C">
      <w:pPr>
        <w:pStyle w:val="zaa"/>
      </w:pPr>
      <w:r>
        <w:t xml:space="preserve">Degustátor má k dispozici seznam předkládaných vzorků </w:t>
      </w:r>
      <w:r w:rsidRPr="00F63661">
        <w:t xml:space="preserve">s uvedením evidenčního čísla vzorku, ročníku, odrůdy a kategorie. </w:t>
      </w:r>
      <w:r>
        <w:t>Organizátor zajistí znemožnění identifikace vzorků.</w:t>
      </w:r>
    </w:p>
    <w:p w14:paraId="0FDDE9A5" w14:textId="77777777" w:rsidR="00F63661" w:rsidRDefault="00A8628C">
      <w:pPr>
        <w:pStyle w:val="zaa"/>
      </w:pPr>
      <w:r>
        <w:t xml:space="preserve">Hodnocení bude probíhat v degustačních sklenicích typu EXPERIENCE. </w:t>
      </w:r>
    </w:p>
    <w:p w14:paraId="4F590DEC" w14:textId="77777777" w:rsidR="00A8628C" w:rsidRDefault="00A8628C">
      <w:pPr>
        <w:pStyle w:val="zaa"/>
      </w:pPr>
      <w:r>
        <w:t xml:space="preserve">Komise pracuje v době mezi 9.00 až 16.30 hod., přestávky mezi hodnocením určují </w:t>
      </w:r>
      <w:r w:rsidR="00944D83">
        <w:t xml:space="preserve">předseda </w:t>
      </w:r>
      <w:r>
        <w:t>komisí. V případě potřeby je možno využít hodnocení v odpoledních hodinách.</w:t>
      </w:r>
    </w:p>
    <w:p w14:paraId="2677EC4E" w14:textId="77777777" w:rsidR="00A8628C" w:rsidRPr="00F63661" w:rsidRDefault="00A8628C">
      <w:pPr>
        <w:pStyle w:val="zaa"/>
      </w:pPr>
      <w:r>
        <w:t xml:space="preserve">Pořadí vzorků musí odpovídat pravidlům hodnocení </w:t>
      </w:r>
      <w:r w:rsidRPr="00F63661">
        <w:t>– vína jsou seřazena podle kategorie, odrůdy a dále podle ročníku (sestupně) a podle obsahu zbytkového cukru (vzestupně)</w:t>
      </w:r>
    </w:p>
    <w:p w14:paraId="61B13072" w14:textId="77777777" w:rsidR="00A8628C" w:rsidRDefault="00A8628C">
      <w:pPr>
        <w:pStyle w:val="zaa"/>
      </w:pPr>
      <w:r>
        <w:t xml:space="preserve">Vína se podávají v teplotách: bílé </w:t>
      </w:r>
      <w:proofErr w:type="gramStart"/>
      <w:r>
        <w:t>10 - 12</w:t>
      </w:r>
      <w:proofErr w:type="gramEnd"/>
      <w:r>
        <w:t xml:space="preserve"> °C, červené víno</w:t>
      </w:r>
      <w:r w:rsidR="00163B19">
        <w:t xml:space="preserve"> </w:t>
      </w:r>
      <w:r>
        <w:t xml:space="preserve">14 - 16 °C, </w:t>
      </w:r>
    </w:p>
    <w:p w14:paraId="659C6386" w14:textId="77777777" w:rsidR="00A8628C" w:rsidRDefault="00A8628C">
      <w:pPr>
        <w:pStyle w:val="zaa"/>
      </w:pPr>
      <w:r>
        <w:t xml:space="preserve">Hodnocení probíhá na počítačovém systému ELWIS Národního vinařského centra a degustátor podepíše na konci hodnocení vytištěný záznam svého hodnocení. </w:t>
      </w:r>
    </w:p>
    <w:p w14:paraId="3BA2EAEA" w14:textId="77777777" w:rsidR="00A8628C" w:rsidRDefault="00A8628C" w:rsidP="0049262B">
      <w:pPr>
        <w:pStyle w:val="Nadpisstedn"/>
        <w:numPr>
          <w:ilvl w:val="0"/>
          <w:numId w:val="20"/>
        </w:numPr>
      </w:pPr>
      <w:r>
        <w:t>Hodnotící systém</w:t>
      </w:r>
    </w:p>
    <w:p w14:paraId="741AE7AD" w14:textId="77777777" w:rsidR="00A8628C" w:rsidRDefault="00A8628C">
      <w:r>
        <w:t xml:space="preserve">Vína, která splnila všechny podmínky tohoto statutu, budou ohodnocena stobodovým systémem mezinárodní unie </w:t>
      </w:r>
      <w:proofErr w:type="spellStart"/>
      <w:r>
        <w:t>enologů</w:t>
      </w:r>
      <w:proofErr w:type="spellEnd"/>
      <w:r>
        <w:t>. Výsledkem hodnocení je aritmetický průměr hodnocení jednotlivých členů komise po eliminaci krajních hodnot.</w:t>
      </w:r>
    </w:p>
    <w:p w14:paraId="4736BB6D" w14:textId="77777777" w:rsidR="00A8628C" w:rsidRPr="0049262B" w:rsidRDefault="00A8628C" w:rsidP="0049262B">
      <w:pPr>
        <w:pStyle w:val="Nadpisstedn"/>
        <w:numPr>
          <w:ilvl w:val="0"/>
          <w:numId w:val="20"/>
        </w:numPr>
      </w:pPr>
      <w:r>
        <w:t>Kategorizace vín</w:t>
      </w:r>
      <w:r w:rsidR="0049262B" w:rsidRPr="0049262B">
        <w:t xml:space="preserve"> a soutěžní odrůdy</w:t>
      </w:r>
    </w:p>
    <w:p w14:paraId="19C12DE0" w14:textId="77777777" w:rsidR="0049262B" w:rsidRPr="0049262B" w:rsidRDefault="0049262B" w:rsidP="0049262B">
      <w:pPr>
        <w:pStyle w:val="zaa"/>
        <w:numPr>
          <w:ilvl w:val="0"/>
          <w:numId w:val="0"/>
        </w:numPr>
      </w:pPr>
      <w:r>
        <w:rPr>
          <w:b/>
        </w:rPr>
        <w:t>A. B</w:t>
      </w:r>
      <w:r w:rsidR="00A8628C" w:rsidRPr="0049262B">
        <w:rPr>
          <w:b/>
        </w:rPr>
        <w:t>ílá</w:t>
      </w:r>
      <w:r>
        <w:rPr>
          <w:b/>
        </w:rPr>
        <w:t xml:space="preserve"> </w:t>
      </w:r>
      <w:r w:rsidR="00A8628C" w:rsidRPr="0049262B">
        <w:rPr>
          <w:b/>
        </w:rPr>
        <w:t xml:space="preserve">vína suchá </w:t>
      </w:r>
      <w:r w:rsidRPr="0049262B">
        <w:t>(dle</w:t>
      </w:r>
      <w:r w:rsidRPr="0049262B">
        <w:rPr>
          <w:b/>
        </w:rPr>
        <w:t xml:space="preserve"> </w:t>
      </w:r>
      <w:r>
        <w:t xml:space="preserve">vinařského zákona max. 9 g zbytkového cukru v litru, pokud rozdíl zbytkového cukru a celkového obsahu kyselin přepočtený na kyselinu vinnou je 2 gramy nebo méně). </w:t>
      </w:r>
      <w:r w:rsidRPr="0049262B">
        <w:t>Pouze pro odrůdy:</w:t>
      </w:r>
      <w:r>
        <w:t xml:space="preserve"> Ryzlink vlašský, Veltlínské zelené, Ryzlink rýnský, Sauvignon, Rulandské bílé (</w:t>
      </w:r>
      <w:proofErr w:type="spellStart"/>
      <w:r>
        <w:t>Pinot</w:t>
      </w:r>
      <w:proofErr w:type="spellEnd"/>
      <w:r>
        <w:t xml:space="preserve"> </w:t>
      </w:r>
      <w:proofErr w:type="spellStart"/>
      <w:r>
        <w:t>blanc</w:t>
      </w:r>
      <w:proofErr w:type="spellEnd"/>
      <w:r>
        <w:t>), Chardonnay a Pálava.</w:t>
      </w:r>
    </w:p>
    <w:p w14:paraId="2309A5B8" w14:textId="77777777" w:rsidR="0049262B" w:rsidRPr="0049262B" w:rsidRDefault="0049262B" w:rsidP="0049262B">
      <w:pPr>
        <w:pStyle w:val="zaa"/>
        <w:numPr>
          <w:ilvl w:val="0"/>
          <w:numId w:val="0"/>
        </w:numPr>
      </w:pPr>
      <w:r>
        <w:rPr>
          <w:b/>
        </w:rPr>
        <w:t xml:space="preserve">B. Červená </w:t>
      </w:r>
      <w:r w:rsidRPr="0049262B">
        <w:rPr>
          <w:b/>
        </w:rPr>
        <w:t xml:space="preserve">vína </w:t>
      </w:r>
      <w:r>
        <w:rPr>
          <w:b/>
        </w:rPr>
        <w:t xml:space="preserve">suchá </w:t>
      </w:r>
      <w:r w:rsidRPr="0049262B">
        <w:t>(dle</w:t>
      </w:r>
      <w:r w:rsidRPr="0049262B">
        <w:rPr>
          <w:b/>
        </w:rPr>
        <w:t xml:space="preserve"> </w:t>
      </w:r>
      <w:r>
        <w:t xml:space="preserve">vinařského zákona max. 9 g zbytkového cukru v litru, pokud rozdíl zbytkového cukru a celkového obsahu kyselin přepočtený na kyselinu vinnou je 2 gramy nebo méně). </w:t>
      </w:r>
      <w:r w:rsidRPr="0049262B">
        <w:t>Pouze pro odrůdy:</w:t>
      </w:r>
      <w:r>
        <w:t xml:space="preserve"> Svatovavřinecké, Rulandské modré (</w:t>
      </w:r>
      <w:proofErr w:type="spellStart"/>
      <w:r>
        <w:t>Pinot</w:t>
      </w:r>
      <w:proofErr w:type="spellEnd"/>
      <w:r>
        <w:t xml:space="preserve"> </w:t>
      </w:r>
      <w:proofErr w:type="spellStart"/>
      <w:r>
        <w:t>Noir</w:t>
      </w:r>
      <w:proofErr w:type="spellEnd"/>
      <w:r>
        <w:t xml:space="preserve">), Frankovka, André a </w:t>
      </w:r>
      <w:proofErr w:type="spellStart"/>
      <w:r>
        <w:t>Zweigeltrebe</w:t>
      </w:r>
      <w:proofErr w:type="spellEnd"/>
      <w:r>
        <w:t>.</w:t>
      </w:r>
    </w:p>
    <w:p w14:paraId="4427584A" w14:textId="77777777" w:rsidR="0049262B" w:rsidRDefault="004559F7" w:rsidP="00B37A13">
      <w:pPr>
        <w:pStyle w:val="Nadpisstedn"/>
        <w:numPr>
          <w:ilvl w:val="0"/>
          <w:numId w:val="20"/>
        </w:numPr>
      </w:pPr>
      <w:r>
        <w:t>Výběr oceněných vín</w:t>
      </w:r>
    </w:p>
    <w:p w14:paraId="3472DD8F" w14:textId="77777777" w:rsidR="004559F7" w:rsidRDefault="004559F7" w:rsidP="004559F7">
      <w:r>
        <w:t>Cílem hodnocení je vybrat 2 nejlepší bílá vína a 2 nejlepší červená vína dle těchto principů</w:t>
      </w:r>
      <w:r w:rsidR="00E4310E">
        <w:t>:</w:t>
      </w:r>
    </w:p>
    <w:p w14:paraId="35AA8626" w14:textId="77777777" w:rsidR="004559F7" w:rsidRPr="0075239B" w:rsidRDefault="004559F7" w:rsidP="00E4310E">
      <w:pPr>
        <w:numPr>
          <w:ilvl w:val="0"/>
          <w:numId w:val="23"/>
        </w:numPr>
      </w:pPr>
      <w:r>
        <w:lastRenderedPageBreak/>
        <w:t xml:space="preserve">Vína budou seřazena dle bodového </w:t>
      </w:r>
      <w:r w:rsidRPr="00CA000D">
        <w:t xml:space="preserve">hodnocení komisí v odrůdách. </w:t>
      </w:r>
      <w:r w:rsidRPr="0075239B">
        <w:t>V případě stejného bodového hodnocení je dalším kritériem aritmetický průměr bez eliminace krajních hodnot, příp. medián.</w:t>
      </w:r>
    </w:p>
    <w:p w14:paraId="69E9396B" w14:textId="738E2E0B" w:rsidR="004559F7" w:rsidRDefault="004559F7" w:rsidP="00E4310E">
      <w:pPr>
        <w:numPr>
          <w:ilvl w:val="0"/>
          <w:numId w:val="23"/>
        </w:numPr>
      </w:pPr>
      <w:r w:rsidRPr="0075239B">
        <w:t xml:space="preserve">Nejlepší víno z odrůdy postupuje do hodnocení subkomise, která je jmenována </w:t>
      </w:r>
      <w:r w:rsidR="005A5CF3">
        <w:t>Národním vinařským centrem, o.p.s.</w:t>
      </w:r>
      <w:r w:rsidRPr="00CA000D">
        <w:t xml:space="preserve"> Do hodnocení subkomise může od každého vinařství</w:t>
      </w:r>
      <w:r>
        <w:t xml:space="preserve"> postoupit pouze jedno </w:t>
      </w:r>
      <w:r w:rsidR="002D7B77">
        <w:t xml:space="preserve">víno </w:t>
      </w:r>
      <w:r>
        <w:t>od vinařství. Pokud by do hodnocení subkomise měla postupovat 2 vína o vinařství, postoupí lépe hodnocené víno a druhé je nahrazeno dalším nejlépe hodnoceným vínem v odrůdě.</w:t>
      </w:r>
    </w:p>
    <w:p w14:paraId="334CA101" w14:textId="308961F8" w:rsidR="004559F7" w:rsidRDefault="004559F7" w:rsidP="00E4310E">
      <w:pPr>
        <w:numPr>
          <w:ilvl w:val="0"/>
          <w:numId w:val="23"/>
        </w:numPr>
      </w:pPr>
      <w:r w:rsidRPr="00A26B30">
        <w:t xml:space="preserve">Každý člen subkomise ohodnotí vína prostým pořadím </w:t>
      </w:r>
      <w:r w:rsidR="00E37899" w:rsidRPr="00A26B30">
        <w:t xml:space="preserve">v rámci funkce výběru šampiona systému </w:t>
      </w:r>
      <w:proofErr w:type="spellStart"/>
      <w:r w:rsidR="00E37899" w:rsidRPr="00A26B30">
        <w:t>Elwis</w:t>
      </w:r>
      <w:proofErr w:type="spellEnd"/>
      <w:r w:rsidR="00E37899" w:rsidRPr="00A26B30">
        <w:t>.</w:t>
      </w:r>
      <w:r w:rsidR="00114F30" w:rsidRPr="00A26B30">
        <w:t xml:space="preserve"> přičemž hodnocení provede zvlášť pro bílá vína a zvlášť pro červená vína. </w:t>
      </w:r>
      <w:r w:rsidRPr="00A26B30">
        <w:t xml:space="preserve"> Poté </w:t>
      </w:r>
      <w:r w:rsidR="008F385A" w:rsidRPr="00A26B30">
        <w:t xml:space="preserve">subkomise </w:t>
      </w:r>
      <w:r w:rsidRPr="00A26B30">
        <w:t xml:space="preserve">provede </w:t>
      </w:r>
      <w:r w:rsidR="00E37899" w:rsidRPr="00A26B30">
        <w:t xml:space="preserve">průměr pořadí </w:t>
      </w:r>
      <w:r w:rsidR="008F385A" w:rsidRPr="00A26B30">
        <w:t>a stanoví pořadí vín v kategorii bílých vín a pořadí vín v kategorii červených vín</w:t>
      </w:r>
      <w:r w:rsidR="00E37899" w:rsidRPr="00A26B30">
        <w:t>.</w:t>
      </w:r>
      <w:r w:rsidR="00E37899">
        <w:t xml:space="preserve"> </w:t>
      </w:r>
      <w:r>
        <w:t xml:space="preserve">V případě rovnosti </w:t>
      </w:r>
      <w:r w:rsidR="007E24EB">
        <w:t xml:space="preserve">součtu </w:t>
      </w:r>
      <w:r w:rsidR="00E37899">
        <w:t xml:space="preserve">pořadí </w:t>
      </w:r>
      <w:r>
        <w:t>rozhoduje hlasování</w:t>
      </w:r>
      <w:r w:rsidR="007E24EB">
        <w:t>, kdy lépe bude hodnoceno víno, které získá větší počet hlasů členů subkomise.</w:t>
      </w:r>
    </w:p>
    <w:p w14:paraId="1DC962C1" w14:textId="77777777" w:rsidR="004559F7" w:rsidRDefault="004559F7" w:rsidP="004559F7">
      <w:r>
        <w:t xml:space="preserve">Na základě tohoto ohodnocení subkomise jsou vybrána a titulem </w:t>
      </w:r>
      <w:r w:rsidRPr="00B37A13">
        <w:rPr>
          <w:b/>
        </w:rPr>
        <w:t>„Víno Jihomoravského kraje 201</w:t>
      </w:r>
      <w:r w:rsidR="003C37F4">
        <w:rPr>
          <w:b/>
        </w:rPr>
        <w:t>9</w:t>
      </w:r>
      <w:r w:rsidRPr="00B37A13">
        <w:rPr>
          <w:b/>
        </w:rPr>
        <w:t>“</w:t>
      </w:r>
      <w:r>
        <w:t xml:space="preserve"> ohodnocena 2 nejlepší bílá vína a 2 nejlepší červená vína.</w:t>
      </w:r>
    </w:p>
    <w:p w14:paraId="51DE5337" w14:textId="77777777" w:rsidR="00B37A13" w:rsidRDefault="00B37A13" w:rsidP="00B37A13">
      <w:pPr>
        <w:pStyle w:val="Nadpisstedn"/>
        <w:numPr>
          <w:ilvl w:val="0"/>
          <w:numId w:val="20"/>
        </w:numPr>
        <w:rPr>
          <w:lang w:val="cs-CZ"/>
        </w:rPr>
      </w:pPr>
      <w:r w:rsidRPr="00A26F62">
        <w:t xml:space="preserve">Označení oceněných vín a nákup vín </w:t>
      </w:r>
    </w:p>
    <w:p w14:paraId="592B3B4C" w14:textId="77777777" w:rsidR="00A26F62" w:rsidRDefault="00A26F62" w:rsidP="00A26F62">
      <w:r>
        <w:t>Organizátor nakoupí od výrobců vína, ohodnocená titulem „Víno Jihomoravského kraje“ v počtu:</w:t>
      </w:r>
    </w:p>
    <w:p w14:paraId="6A8EB609" w14:textId="77777777" w:rsidR="00A26F62" w:rsidRDefault="00EE708E" w:rsidP="00A26F62">
      <w:pPr>
        <w:numPr>
          <w:ilvl w:val="0"/>
          <w:numId w:val="22"/>
        </w:numPr>
      </w:pPr>
      <w:r>
        <w:t>6</w:t>
      </w:r>
      <w:r w:rsidR="00A26F62">
        <w:t>00 láhví u bílých vín (2 druhy)</w:t>
      </w:r>
    </w:p>
    <w:p w14:paraId="7FEA78E4" w14:textId="77777777" w:rsidR="00A26F62" w:rsidRDefault="00EE708E" w:rsidP="00A26F62">
      <w:pPr>
        <w:numPr>
          <w:ilvl w:val="0"/>
          <w:numId w:val="22"/>
        </w:numPr>
      </w:pPr>
      <w:r>
        <w:t>3</w:t>
      </w:r>
      <w:r w:rsidR="00A26F62">
        <w:t>00 láhví u červených vín (2 druhy)</w:t>
      </w:r>
    </w:p>
    <w:p w14:paraId="612CCC2C" w14:textId="77777777" w:rsidR="00A26F62" w:rsidRDefault="00A26F62" w:rsidP="00A26F62">
      <w:r>
        <w:t>Organizátor není povinen využít pro nákup celé výše uvedené množství vín.</w:t>
      </w:r>
    </w:p>
    <w:p w14:paraId="0EA18BE1" w14:textId="77777777" w:rsidR="00A26F62" w:rsidRDefault="00A26F62" w:rsidP="00A26F62">
      <w:r>
        <w:t xml:space="preserve">Nákup bude proveden dle podmínek Jihomoravského kraje na základě </w:t>
      </w:r>
      <w:r w:rsidR="00045CE5">
        <w:t xml:space="preserve">Rámcové </w:t>
      </w:r>
      <w:r>
        <w:t>kupní smlouvy.</w:t>
      </w:r>
    </w:p>
    <w:p w14:paraId="667FECAF" w14:textId="77777777" w:rsidR="00A26F62" w:rsidRDefault="00A26F62" w:rsidP="00A26F62">
      <w:r>
        <w:t xml:space="preserve">Dodání vín je </w:t>
      </w:r>
      <w:r w:rsidR="00444F5E" w:rsidRPr="00444F5E">
        <w:t xml:space="preserve">v průběhu </w:t>
      </w:r>
      <w:r w:rsidR="008A1AC8" w:rsidRPr="00D16A4B">
        <w:t>12 měsíců od nabytí účinnosti Rámcové kupní smlouvy.</w:t>
      </w:r>
    </w:p>
    <w:p w14:paraId="54A7ED62" w14:textId="38AA7993" w:rsidR="00A26F62" w:rsidRPr="00A26F62" w:rsidRDefault="00A26F62" w:rsidP="00A26F62">
      <w:r>
        <w:t xml:space="preserve">Výrobce označí oceněná vína samolepící </w:t>
      </w:r>
      <w:proofErr w:type="spellStart"/>
      <w:r>
        <w:t>medailičkou</w:t>
      </w:r>
      <w:proofErr w:type="spellEnd"/>
      <w:r>
        <w:t xml:space="preserve"> označující titul „Víno Jihomoravského kraje 201</w:t>
      </w:r>
      <w:r w:rsidR="003C37F4">
        <w:t>9</w:t>
      </w:r>
      <w:r>
        <w:t xml:space="preserve">“. </w:t>
      </w:r>
      <w:r w:rsidRPr="003C37F4">
        <w:t xml:space="preserve">Tyto </w:t>
      </w:r>
      <w:proofErr w:type="spellStart"/>
      <w:r w:rsidRPr="003C37F4">
        <w:t>medailičky</w:t>
      </w:r>
      <w:proofErr w:type="spellEnd"/>
      <w:r w:rsidR="003C37F4" w:rsidRPr="003C37F4">
        <w:t xml:space="preserve"> </w:t>
      </w:r>
      <w:r w:rsidR="003C37F4" w:rsidRPr="001D2DBD">
        <w:t>vyrobí dodavatel na své náklady</w:t>
      </w:r>
      <w:r>
        <w:t xml:space="preserve">. Výrobce je </w:t>
      </w:r>
      <w:r w:rsidR="00B81F53">
        <w:t xml:space="preserve">dále </w:t>
      </w:r>
      <w:r>
        <w:t xml:space="preserve">oprávněn si označit všechna vína příslušné šarže touto </w:t>
      </w:r>
      <w:proofErr w:type="spellStart"/>
      <w:r>
        <w:t>medailičkou</w:t>
      </w:r>
      <w:proofErr w:type="spellEnd"/>
      <w:r>
        <w:t xml:space="preserve"> i nad rámce objednávky organizátora. Výrobce je dále oprávněn používat titul a grafické ztvárnění „Víno Jihomoravského kraje“ v souvislosti s příslušným oceněným vínem pro své prezentační a propagační účely.</w:t>
      </w:r>
      <w:r w:rsidR="007F1346">
        <w:t xml:space="preserve"> Grafický návrh medaile Víno JMK 2019 je součástí zadávací dokumentace jako její příloha č. 3.</w:t>
      </w:r>
    </w:p>
    <w:p w14:paraId="494AB373" w14:textId="77777777" w:rsidR="00A8628C" w:rsidRPr="00B81F53" w:rsidRDefault="00A8628C">
      <w:pPr>
        <w:pStyle w:val="Nadpisstedn"/>
        <w:rPr>
          <w:lang w:val="cs-CZ"/>
        </w:rPr>
      </w:pPr>
      <w:r>
        <w:lastRenderedPageBreak/>
        <w:t>1</w:t>
      </w:r>
      <w:r w:rsidR="00352A1B">
        <w:rPr>
          <w:lang w:val="cs-CZ"/>
        </w:rPr>
        <w:t>4</w:t>
      </w:r>
      <w:r>
        <w:t>. Certifikát ocenění</w:t>
      </w:r>
      <w:r w:rsidR="00B81F53">
        <w:rPr>
          <w:lang w:val="cs-CZ"/>
        </w:rPr>
        <w:t xml:space="preserve"> a slavnostní vyhlášení</w:t>
      </w:r>
    </w:p>
    <w:p w14:paraId="51D31D5D" w14:textId="77777777" w:rsidR="00A8628C" w:rsidRDefault="00A8628C">
      <w:r>
        <w:t>Jako certifikát ocenění příslušného vína medailí bude přihlašovateli / výrobci vydán diplom, označující ocenění</w:t>
      </w:r>
      <w:r w:rsidR="00B81F53">
        <w:t xml:space="preserve">. </w:t>
      </w:r>
    </w:p>
    <w:sectPr w:rsidR="00A8628C" w:rsidSect="00C36F36">
      <w:footerReference w:type="default" r:id="rId12"/>
      <w:headerReference w:type="first" r:id="rId13"/>
      <w:pgSz w:w="11906" w:h="16838"/>
      <w:pgMar w:top="1417" w:right="1133" w:bottom="1417" w:left="1134" w:header="708" w:footer="708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D040E" w14:textId="77777777" w:rsidR="00A543E4" w:rsidRDefault="00A543E4">
      <w:pPr>
        <w:spacing w:after="0"/>
      </w:pPr>
      <w:r>
        <w:separator/>
      </w:r>
    </w:p>
  </w:endnote>
  <w:endnote w:type="continuationSeparator" w:id="0">
    <w:p w14:paraId="48AF28BD" w14:textId="77777777" w:rsidR="00A543E4" w:rsidRDefault="00A543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1E09" w14:textId="70DE5688" w:rsidR="00A8628C" w:rsidRDefault="003C37F4">
    <w:pPr>
      <w:pStyle w:val="Zpat"/>
      <w:jc w:val="center"/>
      <w:rPr>
        <w:i/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FB566E6" wp14:editId="15C63B5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45415"/>
              <wp:effectExtent l="6985" t="4445" r="381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F653B" w14:textId="77777777" w:rsidR="00A8628C" w:rsidRDefault="00A8628C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566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.05pt;width:5.9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LPeiA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" stroked="f">
              <v:fill opacity="0"/>
              <v:textbox inset="0,0,0,0">
                <w:txbxContent>
                  <w:p w14:paraId="22BF653B" w14:textId="77777777" w:rsidR="00A8628C" w:rsidRDefault="00A8628C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4C22125D" w14:textId="77777777" w:rsidR="00A8628C" w:rsidRDefault="00A8628C">
    <w:pPr>
      <w:pStyle w:val="Zpat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50EE6" w14:textId="77777777" w:rsidR="00A543E4" w:rsidRDefault="00A543E4">
      <w:pPr>
        <w:spacing w:after="0"/>
      </w:pPr>
      <w:r>
        <w:separator/>
      </w:r>
    </w:p>
  </w:footnote>
  <w:footnote w:type="continuationSeparator" w:id="0">
    <w:p w14:paraId="0767E0DD" w14:textId="77777777" w:rsidR="00A543E4" w:rsidRDefault="00A543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7A1EB" w14:textId="118DCA02" w:rsidR="00A049D4" w:rsidRDefault="00A049D4" w:rsidP="00C36F3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pStyle w:val="zaa"/>
      <w:lvlText w:val="%1)"/>
      <w:lvlJc w:val="left"/>
      <w:pPr>
        <w:tabs>
          <w:tab w:val="num" w:pos="785"/>
        </w:tabs>
        <w:ind w:left="785" w:hanging="425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trike w:val="0"/>
        <w:dstrike w:val="0"/>
        <w:position w:val="0"/>
        <w:sz w:val="24"/>
        <w:vertAlign w:val="baseline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pStyle w:val="Body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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0A08037B"/>
    <w:multiLevelType w:val="hybridMultilevel"/>
    <w:tmpl w:val="8FCCE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52ECC"/>
    <w:multiLevelType w:val="hybridMultilevel"/>
    <w:tmpl w:val="665432BC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A97C04"/>
    <w:multiLevelType w:val="hybridMultilevel"/>
    <w:tmpl w:val="E8D00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7456E"/>
    <w:multiLevelType w:val="hybridMultilevel"/>
    <w:tmpl w:val="AF1A2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31889"/>
    <w:multiLevelType w:val="hybridMultilevel"/>
    <w:tmpl w:val="E2964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319BF"/>
    <w:multiLevelType w:val="hybridMultilevel"/>
    <w:tmpl w:val="8BE2DC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794DE2"/>
    <w:multiLevelType w:val="hybridMultilevel"/>
    <w:tmpl w:val="B366FA2E"/>
    <w:lvl w:ilvl="0" w:tplc="87A0984A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89195B"/>
    <w:multiLevelType w:val="hybridMultilevel"/>
    <w:tmpl w:val="D6C6E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902A1"/>
    <w:multiLevelType w:val="hybridMultilevel"/>
    <w:tmpl w:val="75825ABA"/>
    <w:lvl w:ilvl="0" w:tplc="2898C0D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143758">
      <w:numFmt w:val="bullet"/>
      <w:lvlText w:val="•"/>
      <w:lvlJc w:val="left"/>
      <w:pPr>
        <w:ind w:left="3585" w:hanging="705"/>
      </w:pPr>
      <w:rPr>
        <w:rFonts w:ascii="Calibri" w:eastAsia="Times New Roman" w:hAnsi="Calibri" w:cs="Calibri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A3135D"/>
    <w:multiLevelType w:val="hybridMultilevel"/>
    <w:tmpl w:val="7688B2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7811AA"/>
    <w:multiLevelType w:val="hybridMultilevel"/>
    <w:tmpl w:val="7A10548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72EE9"/>
    <w:multiLevelType w:val="hybridMultilevel"/>
    <w:tmpl w:val="B8201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F0528"/>
    <w:multiLevelType w:val="hybridMultilevel"/>
    <w:tmpl w:val="AD924132"/>
    <w:lvl w:ilvl="0" w:tplc="040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DB1DC7"/>
    <w:multiLevelType w:val="hybridMultilevel"/>
    <w:tmpl w:val="B212C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65163"/>
    <w:multiLevelType w:val="hybridMultilevel"/>
    <w:tmpl w:val="32262D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6"/>
  </w:num>
  <w:num w:numId="11">
    <w:abstractNumId w:val="21"/>
  </w:num>
  <w:num w:numId="12">
    <w:abstractNumId w:val="11"/>
  </w:num>
  <w:num w:numId="13">
    <w:abstractNumId w:val="18"/>
  </w:num>
  <w:num w:numId="14">
    <w:abstractNumId w:val="22"/>
  </w:num>
  <w:num w:numId="15">
    <w:abstractNumId w:val="20"/>
  </w:num>
  <w:num w:numId="16">
    <w:abstractNumId w:val="17"/>
  </w:num>
  <w:num w:numId="17">
    <w:abstractNumId w:val="10"/>
  </w:num>
  <w:num w:numId="18">
    <w:abstractNumId w:val="19"/>
  </w:num>
  <w:num w:numId="19">
    <w:abstractNumId w:val="8"/>
  </w:num>
  <w:num w:numId="20">
    <w:abstractNumId w:val="9"/>
  </w:num>
  <w:num w:numId="21">
    <w:abstractNumId w:val="14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B0"/>
    <w:rsid w:val="000142D7"/>
    <w:rsid w:val="00045CE5"/>
    <w:rsid w:val="00057FEF"/>
    <w:rsid w:val="00085186"/>
    <w:rsid w:val="000B7622"/>
    <w:rsid w:val="000D4FC4"/>
    <w:rsid w:val="000D5DAF"/>
    <w:rsid w:val="000D771E"/>
    <w:rsid w:val="0010729F"/>
    <w:rsid w:val="00114F30"/>
    <w:rsid w:val="001257FB"/>
    <w:rsid w:val="001264C3"/>
    <w:rsid w:val="00141130"/>
    <w:rsid w:val="0015598E"/>
    <w:rsid w:val="00163B19"/>
    <w:rsid w:val="0016540C"/>
    <w:rsid w:val="0016789F"/>
    <w:rsid w:val="0017102E"/>
    <w:rsid w:val="001942B0"/>
    <w:rsid w:val="001B5B6D"/>
    <w:rsid w:val="0021736C"/>
    <w:rsid w:val="00226080"/>
    <w:rsid w:val="00230758"/>
    <w:rsid w:val="00263D9F"/>
    <w:rsid w:val="0029763A"/>
    <w:rsid w:val="002C47A2"/>
    <w:rsid w:val="002D7B77"/>
    <w:rsid w:val="00310182"/>
    <w:rsid w:val="00333686"/>
    <w:rsid w:val="00333A98"/>
    <w:rsid w:val="00352A1B"/>
    <w:rsid w:val="00355276"/>
    <w:rsid w:val="00364098"/>
    <w:rsid w:val="00386A51"/>
    <w:rsid w:val="00392442"/>
    <w:rsid w:val="003A7B6D"/>
    <w:rsid w:val="003C37F4"/>
    <w:rsid w:val="00403AA5"/>
    <w:rsid w:val="0041128D"/>
    <w:rsid w:val="00442499"/>
    <w:rsid w:val="00444F5E"/>
    <w:rsid w:val="004559F7"/>
    <w:rsid w:val="00462B46"/>
    <w:rsid w:val="0047087A"/>
    <w:rsid w:val="0049262B"/>
    <w:rsid w:val="00493347"/>
    <w:rsid w:val="004A67C0"/>
    <w:rsid w:val="004C6487"/>
    <w:rsid w:val="004D4B56"/>
    <w:rsid w:val="004E1703"/>
    <w:rsid w:val="004F4183"/>
    <w:rsid w:val="00505464"/>
    <w:rsid w:val="00505AA6"/>
    <w:rsid w:val="00523393"/>
    <w:rsid w:val="00555346"/>
    <w:rsid w:val="00567CDB"/>
    <w:rsid w:val="005706DB"/>
    <w:rsid w:val="005724FA"/>
    <w:rsid w:val="00575F31"/>
    <w:rsid w:val="00594D0D"/>
    <w:rsid w:val="005A126B"/>
    <w:rsid w:val="005A5CF3"/>
    <w:rsid w:val="005B7A45"/>
    <w:rsid w:val="005D0848"/>
    <w:rsid w:val="005D66CA"/>
    <w:rsid w:val="00603FCD"/>
    <w:rsid w:val="00623E0C"/>
    <w:rsid w:val="00662D67"/>
    <w:rsid w:val="00665290"/>
    <w:rsid w:val="00676453"/>
    <w:rsid w:val="00691912"/>
    <w:rsid w:val="006B2A49"/>
    <w:rsid w:val="006B3200"/>
    <w:rsid w:val="006B36B7"/>
    <w:rsid w:val="006B7C50"/>
    <w:rsid w:val="006C61BC"/>
    <w:rsid w:val="006E5D3C"/>
    <w:rsid w:val="006E5FAA"/>
    <w:rsid w:val="006E762F"/>
    <w:rsid w:val="00704D88"/>
    <w:rsid w:val="00716834"/>
    <w:rsid w:val="00717CA4"/>
    <w:rsid w:val="0072116E"/>
    <w:rsid w:val="00721AC5"/>
    <w:rsid w:val="0073518D"/>
    <w:rsid w:val="00737D48"/>
    <w:rsid w:val="00750D8A"/>
    <w:rsid w:val="0075239B"/>
    <w:rsid w:val="007A5F0F"/>
    <w:rsid w:val="007C5B6B"/>
    <w:rsid w:val="007D433A"/>
    <w:rsid w:val="007D7955"/>
    <w:rsid w:val="007E24EB"/>
    <w:rsid w:val="007E30E6"/>
    <w:rsid w:val="007E6B87"/>
    <w:rsid w:val="007F1346"/>
    <w:rsid w:val="00803421"/>
    <w:rsid w:val="00806B34"/>
    <w:rsid w:val="00825449"/>
    <w:rsid w:val="00865526"/>
    <w:rsid w:val="00885414"/>
    <w:rsid w:val="008A1AC8"/>
    <w:rsid w:val="008A2E17"/>
    <w:rsid w:val="008F385A"/>
    <w:rsid w:val="00903163"/>
    <w:rsid w:val="00907637"/>
    <w:rsid w:val="00912C4F"/>
    <w:rsid w:val="009321A2"/>
    <w:rsid w:val="00934B36"/>
    <w:rsid w:val="00935EAA"/>
    <w:rsid w:val="00944D83"/>
    <w:rsid w:val="009459D5"/>
    <w:rsid w:val="00956909"/>
    <w:rsid w:val="009616F3"/>
    <w:rsid w:val="009A6BBF"/>
    <w:rsid w:val="009B1DD7"/>
    <w:rsid w:val="009E5E91"/>
    <w:rsid w:val="009F10B7"/>
    <w:rsid w:val="009F34B3"/>
    <w:rsid w:val="00A02F5B"/>
    <w:rsid w:val="00A049D4"/>
    <w:rsid w:val="00A04D8D"/>
    <w:rsid w:val="00A1437C"/>
    <w:rsid w:val="00A26B30"/>
    <w:rsid w:val="00A26F62"/>
    <w:rsid w:val="00A51A59"/>
    <w:rsid w:val="00A543E4"/>
    <w:rsid w:val="00A80A02"/>
    <w:rsid w:val="00A8628C"/>
    <w:rsid w:val="00AE3C78"/>
    <w:rsid w:val="00B25766"/>
    <w:rsid w:val="00B37A13"/>
    <w:rsid w:val="00B43D08"/>
    <w:rsid w:val="00B579B7"/>
    <w:rsid w:val="00B81F53"/>
    <w:rsid w:val="00B9515D"/>
    <w:rsid w:val="00BB57E2"/>
    <w:rsid w:val="00BC68FD"/>
    <w:rsid w:val="00BF0A1C"/>
    <w:rsid w:val="00C030E1"/>
    <w:rsid w:val="00C276ED"/>
    <w:rsid w:val="00C35545"/>
    <w:rsid w:val="00C36F36"/>
    <w:rsid w:val="00C44606"/>
    <w:rsid w:val="00C45821"/>
    <w:rsid w:val="00C73F3F"/>
    <w:rsid w:val="00C87D37"/>
    <w:rsid w:val="00CA000D"/>
    <w:rsid w:val="00CA584A"/>
    <w:rsid w:val="00CF10D1"/>
    <w:rsid w:val="00D0403F"/>
    <w:rsid w:val="00D1071E"/>
    <w:rsid w:val="00D125FA"/>
    <w:rsid w:val="00D16A4B"/>
    <w:rsid w:val="00D16A77"/>
    <w:rsid w:val="00D211E1"/>
    <w:rsid w:val="00D231B1"/>
    <w:rsid w:val="00D31CF1"/>
    <w:rsid w:val="00D34E05"/>
    <w:rsid w:val="00D73F3F"/>
    <w:rsid w:val="00DC4CBF"/>
    <w:rsid w:val="00DC7A68"/>
    <w:rsid w:val="00DD7C0A"/>
    <w:rsid w:val="00E34EA9"/>
    <w:rsid w:val="00E37899"/>
    <w:rsid w:val="00E4310E"/>
    <w:rsid w:val="00E714B3"/>
    <w:rsid w:val="00E74574"/>
    <w:rsid w:val="00E91242"/>
    <w:rsid w:val="00EA1EA3"/>
    <w:rsid w:val="00ED5510"/>
    <w:rsid w:val="00EE708E"/>
    <w:rsid w:val="00F06C6C"/>
    <w:rsid w:val="00F17661"/>
    <w:rsid w:val="00F230A4"/>
    <w:rsid w:val="00F25E34"/>
    <w:rsid w:val="00F30CEC"/>
    <w:rsid w:val="00F44E0C"/>
    <w:rsid w:val="00F614D3"/>
    <w:rsid w:val="00F63661"/>
    <w:rsid w:val="00FA53F8"/>
    <w:rsid w:val="00FA6176"/>
    <w:rsid w:val="00FD1E0A"/>
    <w:rsid w:val="00FD4D8E"/>
    <w:rsid w:val="00FF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9D11A17"/>
  <w15:chartTrackingRefBased/>
  <w15:docId w15:val="{674B23CE-2354-4F1B-B7D2-61563703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30A4"/>
    <w:pPr>
      <w:suppressAutoHyphens/>
      <w:spacing w:after="120" w:line="360" w:lineRule="auto"/>
    </w:pPr>
    <w:rPr>
      <w:rFonts w:ascii="Arial" w:hAnsi="Arial" w:cs="Calibri"/>
      <w:sz w:val="22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b/>
      <w:bCs/>
      <w:sz w:val="28"/>
      <w:lang w:val="x-non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  <w:strike w:val="0"/>
      <w:dstrike w:val="0"/>
      <w:position w:val="0"/>
      <w:sz w:val="24"/>
      <w:vertAlign w:val="baseline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8z0">
    <w:name w:val="WW8Num8z0"/>
    <w:rPr>
      <w:rFonts w:hint="default"/>
      <w:b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Wingdings" w:hAnsi="Wingdings" w:cs="Wingdings" w:hint="default"/>
    </w:rPr>
  </w:style>
  <w:style w:type="character" w:customStyle="1" w:styleId="WW8Num12z4">
    <w:name w:val="WW8Num12z4"/>
    <w:rPr>
      <w:rFonts w:ascii="Courier New" w:hAnsi="Courier New" w:cs="Courier New" w:hint="default"/>
    </w:rPr>
  </w:style>
  <w:style w:type="character" w:customStyle="1" w:styleId="WW8Num13z0">
    <w:name w:val="WW8Num13z0"/>
    <w:rPr>
      <w:rFonts w:ascii="Symbol" w:eastAsia="Times New Roman" w:hAnsi="Symbol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rFonts w:ascii="Cambria" w:hAnsi="Cambria" w:cs="Arial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Cambria" w:hAnsi="Cambria" w:cs="Arial"/>
      <w:b/>
      <w:bCs/>
      <w:sz w:val="26"/>
      <w:szCs w:val="26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4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1"/>
  </w:style>
  <w:style w:type="character" w:customStyle="1" w:styleId="Nadpis1Char">
    <w:name w:val="Nadpis 1 Char"/>
    <w:rPr>
      <w:rFonts w:eastAsia="Times New Roman" w:cs="Times New Roman"/>
      <w:b/>
      <w:bCs/>
      <w:sz w:val="28"/>
      <w:szCs w:val="24"/>
    </w:rPr>
  </w:style>
  <w:style w:type="character" w:customStyle="1" w:styleId="Nadpis4Char">
    <w:name w:val="Nadpis 4 Char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OdstavecseseznamemChar">
    <w:name w:val="Odstavec se seznamem Char"/>
    <w:rPr>
      <w:sz w:val="24"/>
      <w:szCs w:val="24"/>
    </w:rPr>
  </w:style>
  <w:style w:type="character" w:styleId="Zdraznnjemn">
    <w:name w:val="Subtle Emphasis"/>
    <w:qFormat/>
    <w:rPr>
      <w:i/>
      <w:iCs/>
      <w:color w:val="808080"/>
    </w:rPr>
  </w:style>
  <w:style w:type="character" w:customStyle="1" w:styleId="BodyChar">
    <w:name w:val="Body Char"/>
    <w:basedOn w:val="OdstavecseseznamemChar"/>
    <w:rPr>
      <w:sz w:val="24"/>
      <w:szCs w:val="24"/>
    </w:rPr>
  </w:style>
  <w:style w:type="character" w:customStyle="1" w:styleId="Body2Char">
    <w:name w:val="Body2 Char"/>
    <w:basedOn w:val="BodyChar"/>
    <w:rPr>
      <w:sz w:val="24"/>
      <w:szCs w:val="24"/>
    </w:rPr>
  </w:style>
  <w:style w:type="character" w:customStyle="1" w:styleId="PodnadpisChar">
    <w:name w:val="Podnadpis Char"/>
    <w:rPr>
      <w:rFonts w:ascii="Trebuchet MS" w:eastAsia="Calibri" w:hAnsi="Trebuchet MS" w:cs="Trebuchet MS"/>
      <w:b/>
      <w:sz w:val="24"/>
      <w:szCs w:val="22"/>
    </w:rPr>
  </w:style>
  <w:style w:type="character" w:customStyle="1" w:styleId="NadpisstednChar">
    <w:name w:val="Nadpis střední Char"/>
    <w:rPr>
      <w:rFonts w:ascii="Cambria" w:eastAsia="Arial Unicode MS" w:hAnsi="Cambria" w:cs="Microsoft Sans Serif"/>
      <w:b/>
      <w:color w:val="000099"/>
      <w:sz w:val="32"/>
      <w:szCs w:val="32"/>
    </w:rPr>
  </w:style>
  <w:style w:type="character" w:customStyle="1" w:styleId="NadpisvelkChar">
    <w:name w:val="Nadpis velký Char"/>
    <w:rPr>
      <w:rFonts w:ascii="Cambria" w:eastAsia="Arial Unicode MS" w:hAnsi="Cambria" w:cs="Microsoft Sans Serif"/>
      <w:b/>
      <w:color w:val="C00000"/>
      <w:sz w:val="40"/>
      <w:szCs w:val="40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adr">
    <w:name w:val="adr"/>
    <w:basedOn w:val="Standardnpsmoodstavce1"/>
  </w:style>
  <w:style w:type="character" w:customStyle="1" w:styleId="street-address">
    <w:name w:val="street-address"/>
    <w:basedOn w:val="Standardnpsmoodstavce1"/>
  </w:style>
  <w:style w:type="character" w:customStyle="1" w:styleId="postal-code">
    <w:name w:val="postal-code"/>
    <w:basedOn w:val="Standardnpsmoodstavce1"/>
  </w:style>
  <w:style w:type="character" w:customStyle="1" w:styleId="locality">
    <w:name w:val="locality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rPr>
      <w:rFonts w:ascii="Calibri" w:hAnsi="Calibri" w:cs="Calibri"/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rPr>
      <w:rFonts w:ascii="Times New Roman" w:hAnsi="Times New Roman" w:cs="Times New Roman"/>
      <w:sz w:val="20"/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aa">
    <w:name w:val="za a)"/>
    <w:basedOn w:val="Normln"/>
    <w:pPr>
      <w:numPr>
        <w:numId w:val="5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Times New Roman" w:hAnsi="Times New Roman" w:cs="Times New Roman"/>
      <w:lang w:val="x-none"/>
    </w:rPr>
  </w:style>
  <w:style w:type="paragraph" w:styleId="Nzev">
    <w:name w:val="Title"/>
    <w:basedOn w:val="Normln"/>
    <w:next w:val="Podtitul"/>
    <w:qFormat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styleId="Bezmezer">
    <w:name w:val="No Spacing"/>
    <w:qFormat/>
    <w:pPr>
      <w:suppressAutoHyphens/>
    </w:pPr>
    <w:rPr>
      <w:sz w:val="24"/>
      <w:szCs w:val="24"/>
      <w:lang w:eastAsia="ar-SA"/>
    </w:rPr>
  </w:style>
  <w:style w:type="paragraph" w:styleId="Odstavecseseznamem">
    <w:name w:val="List Paragraph"/>
    <w:basedOn w:val="Normln"/>
    <w:qFormat/>
    <w:pPr>
      <w:ind w:left="708"/>
    </w:pPr>
    <w:rPr>
      <w:rFonts w:ascii="Times New Roman" w:hAnsi="Times New Roman" w:cs="Times New Roman"/>
      <w:lang w:val="x-none"/>
    </w:rPr>
  </w:style>
  <w:style w:type="paragraph" w:customStyle="1" w:styleId="Body">
    <w:name w:val="Body"/>
    <w:basedOn w:val="Odstavecseseznamem"/>
    <w:qFormat/>
    <w:pPr>
      <w:numPr>
        <w:numId w:val="7"/>
      </w:numPr>
    </w:pPr>
  </w:style>
  <w:style w:type="paragraph" w:customStyle="1" w:styleId="Body2">
    <w:name w:val="Body2"/>
    <w:basedOn w:val="Body"/>
  </w:style>
  <w:style w:type="paragraph" w:styleId="Podnadpis">
    <w:name w:val="Subtitle"/>
    <w:basedOn w:val="Normln"/>
    <w:next w:val="Normln"/>
    <w:pPr>
      <w:keepNext/>
      <w:keepLines/>
      <w:spacing w:before="240"/>
    </w:pPr>
    <w:rPr>
      <w:rFonts w:ascii="Trebuchet MS" w:eastAsia="Calibri" w:hAnsi="Trebuchet MS" w:cs="Trebuchet MS"/>
      <w:b/>
      <w:szCs w:val="22"/>
      <w:lang w:val="x-none"/>
    </w:rPr>
  </w:style>
  <w:style w:type="paragraph" w:customStyle="1" w:styleId="Nadpisstedn">
    <w:name w:val="Nadpis střední"/>
    <w:basedOn w:val="Normln"/>
    <w:next w:val="Normln"/>
    <w:qFormat/>
    <w:rsid w:val="00B37A13"/>
    <w:pPr>
      <w:keepNext/>
      <w:keepLines/>
      <w:spacing w:before="240"/>
    </w:pPr>
    <w:rPr>
      <w:rFonts w:ascii="Cambria" w:eastAsia="Arial Unicode MS" w:hAnsi="Cambria" w:cs="Cambria"/>
      <w:b/>
      <w:color w:val="000099"/>
      <w:sz w:val="36"/>
      <w:szCs w:val="32"/>
      <w:lang w:val="x-none"/>
    </w:rPr>
  </w:style>
  <w:style w:type="paragraph" w:customStyle="1" w:styleId="Nadpisvelk">
    <w:name w:val="Nadpis velký"/>
    <w:basedOn w:val="Normln"/>
    <w:next w:val="Normln"/>
    <w:pPr>
      <w:pBdr>
        <w:bottom w:val="single" w:sz="8" w:space="1" w:color="000000"/>
      </w:pBdr>
      <w:spacing w:before="360" w:after="240"/>
      <w:jc w:val="center"/>
    </w:pPr>
    <w:rPr>
      <w:rFonts w:ascii="Cambria" w:eastAsia="Arial Unicode MS" w:hAnsi="Cambria" w:cs="Cambria"/>
      <w:b/>
      <w:color w:val="C00000"/>
      <w:sz w:val="40"/>
      <w:szCs w:val="40"/>
      <w:lang w:val="x-none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character" w:customStyle="1" w:styleId="st">
    <w:name w:val="st"/>
    <w:rsid w:val="00F230A4"/>
  </w:style>
  <w:style w:type="character" w:customStyle="1" w:styleId="Zvraznn">
    <w:name w:val="Zvýraznění"/>
    <w:uiPriority w:val="20"/>
    <w:qFormat/>
    <w:rsid w:val="00F230A4"/>
    <w:rPr>
      <w:i/>
      <w:iCs/>
    </w:rPr>
  </w:style>
  <w:style w:type="character" w:styleId="Odkaznakoment">
    <w:name w:val="annotation reference"/>
    <w:uiPriority w:val="99"/>
    <w:semiHidden/>
    <w:unhideWhenUsed/>
    <w:rsid w:val="00912C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2C4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12C4F"/>
    <w:rPr>
      <w:rFonts w:ascii="Arial" w:hAnsi="Arial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lwis.cz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23BE3D41F70419CA45C4B78CA58F7" ma:contentTypeVersion="10" ma:contentTypeDescription="Vytvoří nový dokument" ma:contentTypeScope="" ma:versionID="1897805a6bf464f51fd23809bfbdde4c">
  <xsd:schema xmlns:xsd="http://www.w3.org/2001/XMLSchema" xmlns:xs="http://www.w3.org/2001/XMLSchema" xmlns:p="http://schemas.microsoft.com/office/2006/metadata/properties" xmlns:ns2="dd44f18e-5df9-442b-a475-5962878c3dfc" xmlns:ns3="4cc1ea81-3f73-4be6-bc93-a6df2446c352" targetNamespace="http://schemas.microsoft.com/office/2006/metadata/properties" ma:root="true" ma:fieldsID="05284e904897dcd7fca00a4951be97cc" ns2:_="" ns3:_="">
    <xsd:import namespace="dd44f18e-5df9-442b-a475-5962878c3dfc"/>
    <xsd:import namespace="4cc1ea81-3f73-4be6-bc93-a6df2446c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f18e-5df9-442b-a475-5962878c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a81-3f73-4be6-bc93-a6df2446c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D3C644-C37C-491C-895B-90AA6927A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f18e-5df9-442b-a475-5962878c3dfc"/>
    <ds:schemaRef ds:uri="4cc1ea81-3f73-4be6-bc93-a6df2446c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545ED3-ADC9-4461-9C50-1D5F894EC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EAC5B-8200-4038-8091-7A31781E24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1313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NVC</vt:lpstr>
    </vt:vector>
  </TitlesOfParts>
  <Company/>
  <LinksUpToDate>false</LinksUpToDate>
  <CharactersWithSpaces>9043</CharactersWithSpaces>
  <SharedDoc>false</SharedDoc>
  <HLinks>
    <vt:vector size="6" baseType="variant"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http://www.elwis.cz/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NVC</dc:title>
  <dc:subject/>
  <dc:creator>Pavel Krška</dc:creator>
  <cp:keywords/>
  <cp:lastModifiedBy>Hrušková Jaroslava</cp:lastModifiedBy>
  <cp:revision>2</cp:revision>
  <cp:lastPrinted>2018-08-07T08:41:00Z</cp:lastPrinted>
  <dcterms:created xsi:type="dcterms:W3CDTF">2019-09-30T14:58:00Z</dcterms:created>
  <dcterms:modified xsi:type="dcterms:W3CDTF">2019-09-30T14:58:00Z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LUKASKOVA.IVANA@kr-jihomoravsky.cz</vt:lpwstr>
  </property>
  <property fmtid="{D5CDD505-2E9C-101B-9397-08002B2CF9AE}" pid="5" name="MSIP_Label_690ebb53-23a2-471a-9c6e-17bd0d11311e_SetDate">
    <vt:lpwstr>2019-09-09T12:00:50.7427902Z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0x010100C9723BE3D41F70419CA45C4B78CA58F7</vt:lpwstr>
  </property>
</Properties>
</file>