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CB5D1" w14:textId="77777777" w:rsidR="00645C1E" w:rsidRDefault="0031300A" w:rsidP="00645C1E">
      <w:pPr>
        <w:jc w:val="center"/>
        <w:rPr>
          <w:rFonts w:ascii="Arial" w:hAnsi="Arial" w:cs="Arial"/>
          <w:b/>
          <w:sz w:val="36"/>
          <w:szCs w:val="36"/>
          <w:lang w:eastAsia="x-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6C450F" wp14:editId="64A23CCB">
            <wp:simplePos x="0" y="0"/>
            <wp:positionH relativeFrom="margin">
              <wp:align>center</wp:align>
            </wp:positionH>
            <wp:positionV relativeFrom="paragraph">
              <wp:posOffset>-630555</wp:posOffset>
            </wp:positionV>
            <wp:extent cx="2400300" cy="1381125"/>
            <wp:effectExtent l="0" t="0" r="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-Salon-vin-20 roč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7F9E0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199F63E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6A8889B4" w14:textId="77777777" w:rsidR="002A2750" w:rsidRDefault="002A2750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</w:p>
    <w:p w14:paraId="5BB11B27" w14:textId="0334DC3B" w:rsidR="00B54632" w:rsidRPr="00645C1E" w:rsidRDefault="00B54632" w:rsidP="00F04E3E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>
        <w:rPr>
          <w:rFonts w:asciiTheme="minorHAnsi" w:hAnsiTheme="minorHAnsi" w:cstheme="minorHAnsi"/>
          <w:b/>
          <w:sz w:val="36"/>
          <w:szCs w:val="36"/>
          <w:lang w:eastAsia="x-none"/>
        </w:rPr>
        <w:t>Nejlepším vínem České republiky pro rok 2020 je</w:t>
      </w:r>
      <w:r w:rsidR="00B96E8B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Rulandské modré 2017 ze Zámeckého vinařství Bzenec</w:t>
      </w:r>
    </w:p>
    <w:p w14:paraId="0E991A2F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28E234A" w14:textId="488AEB56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B54632">
        <w:rPr>
          <w:rFonts w:asciiTheme="minorHAnsi" w:hAnsiTheme="minorHAnsi" w:cstheme="minorHAnsi"/>
          <w:bCs/>
          <w:i/>
          <w:spacing w:val="50"/>
          <w:sz w:val="26"/>
          <w:szCs w:val="26"/>
        </w:rPr>
        <w:t>4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DB6D79">
        <w:rPr>
          <w:rFonts w:asciiTheme="minorHAnsi" w:hAnsiTheme="minorHAnsi" w:cstheme="minorHAnsi"/>
          <w:bCs/>
          <w:i/>
          <w:spacing w:val="50"/>
          <w:sz w:val="26"/>
          <w:szCs w:val="26"/>
        </w:rPr>
        <w:t>prosince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201</w:t>
      </w:r>
      <w:r w:rsidR="000202D6"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>9</w:t>
      </w:r>
    </w:p>
    <w:p w14:paraId="41EC99C9" w14:textId="77777777" w:rsidR="00645C1E" w:rsidRPr="00D273D8" w:rsidRDefault="00645C1E" w:rsidP="00645C1E">
      <w:pPr>
        <w:jc w:val="center"/>
        <w:rPr>
          <w:rFonts w:ascii="Arial" w:hAnsi="Arial" w:cs="Arial"/>
          <w:i/>
          <w:spacing w:val="50"/>
          <w:sz w:val="22"/>
          <w:szCs w:val="22"/>
        </w:rPr>
      </w:pPr>
    </w:p>
    <w:p w14:paraId="4A769982" w14:textId="77777777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75ABBA" w14:textId="6ABC0104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Zástupci odborné h</w:t>
      </w:r>
      <w:r w:rsidRPr="00B54632">
        <w:rPr>
          <w:rFonts w:asciiTheme="minorHAnsi" w:hAnsiTheme="minorHAnsi" w:cstheme="minorHAnsi"/>
          <w:b/>
          <w:sz w:val="24"/>
          <w:szCs w:val="24"/>
        </w:rPr>
        <w:t>odnotící komise vyhlásil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B54632">
        <w:rPr>
          <w:rFonts w:asciiTheme="minorHAnsi" w:hAnsiTheme="minorHAnsi" w:cstheme="minorHAnsi"/>
          <w:b/>
          <w:sz w:val="24"/>
          <w:szCs w:val="24"/>
        </w:rPr>
        <w:t xml:space="preserve"> 4. prosince ve Valticích absolutního Šampiona Salonu vín – národní soutěže vín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B54632">
        <w:rPr>
          <w:rFonts w:asciiTheme="minorHAnsi" w:hAnsiTheme="minorHAnsi" w:cstheme="minorHAnsi"/>
          <w:b/>
          <w:sz w:val="24"/>
          <w:szCs w:val="24"/>
        </w:rPr>
        <w:t>, nejvyšší a největší soutěže vín v České republice.  Šampionem a zároveň nejlepším vínem České republiky pro rok 20</w:t>
      </w:r>
      <w:r>
        <w:rPr>
          <w:rFonts w:asciiTheme="minorHAnsi" w:hAnsiTheme="minorHAnsi" w:cstheme="minorHAnsi"/>
          <w:b/>
          <w:sz w:val="24"/>
          <w:szCs w:val="24"/>
        </w:rPr>
        <w:t>20</w:t>
      </w:r>
      <w:r w:rsidRPr="00B54632">
        <w:rPr>
          <w:rFonts w:asciiTheme="minorHAnsi" w:hAnsiTheme="minorHAnsi" w:cstheme="minorHAnsi"/>
          <w:b/>
          <w:sz w:val="24"/>
          <w:szCs w:val="24"/>
        </w:rPr>
        <w:t xml:space="preserve">, se stalo </w:t>
      </w:r>
      <w:r w:rsidR="00B96E8B">
        <w:rPr>
          <w:rFonts w:asciiTheme="minorHAnsi" w:hAnsiTheme="minorHAnsi" w:cstheme="minorHAnsi"/>
          <w:b/>
          <w:sz w:val="24"/>
          <w:szCs w:val="24"/>
        </w:rPr>
        <w:t>Rulandské modré, 2017, řada EGO, výběr z</w:t>
      </w:r>
      <w:r w:rsidR="009440DD">
        <w:rPr>
          <w:rFonts w:asciiTheme="minorHAnsi" w:hAnsiTheme="minorHAnsi" w:cstheme="minorHAnsi"/>
          <w:b/>
          <w:sz w:val="24"/>
          <w:szCs w:val="24"/>
        </w:rPr>
        <w:t xml:space="preserve"> hroznů, číslo šarže </w:t>
      </w:r>
      <w:r w:rsidR="009440DD" w:rsidRPr="009440DD">
        <w:rPr>
          <w:rFonts w:asciiTheme="minorHAnsi" w:hAnsiTheme="minorHAnsi" w:cstheme="minorHAnsi"/>
          <w:b/>
          <w:sz w:val="24"/>
          <w:szCs w:val="24"/>
        </w:rPr>
        <w:t>7235</w:t>
      </w:r>
      <w:r w:rsidR="009440D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96E8B">
        <w:rPr>
          <w:rFonts w:asciiTheme="minorHAnsi" w:hAnsiTheme="minorHAnsi" w:cstheme="minorHAnsi"/>
          <w:b/>
          <w:sz w:val="24"/>
          <w:szCs w:val="24"/>
        </w:rPr>
        <w:t>ze Zámeckého vinařství Bzenec. Hrozny pochází z Moravy – mikulovské podoblasti, z obce Dolní Dunajovice, viniční trati Zimní vrch.</w:t>
      </w:r>
      <w:r w:rsidR="00D82166">
        <w:rPr>
          <w:rFonts w:asciiTheme="minorHAnsi" w:hAnsiTheme="minorHAnsi" w:cstheme="minorHAnsi"/>
          <w:b/>
          <w:sz w:val="24"/>
          <w:szCs w:val="24"/>
        </w:rPr>
        <w:t xml:space="preserve"> Je to už 7. titul absolutního Šampiona pro Zámecké vinařství Bzenec. </w:t>
      </w:r>
      <w:r w:rsidRPr="00DB6D79">
        <w:rPr>
          <w:rFonts w:asciiTheme="minorHAnsi" w:hAnsiTheme="minorHAnsi" w:cstheme="minorHAnsi"/>
          <w:b/>
          <w:sz w:val="24"/>
          <w:szCs w:val="24"/>
        </w:rPr>
        <w:t>Soutěž pořádá Národní vinařské centrum za podpory Vinařského fondu a ve spolupráci se Svazem vinařů ČR.</w:t>
      </w:r>
    </w:p>
    <w:p w14:paraId="0364F850" w14:textId="77777777" w:rsidR="00B54632" w:rsidRP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C9AB0A7" w14:textId="2248D4A1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632">
        <w:rPr>
          <w:rFonts w:asciiTheme="minorHAnsi" w:hAnsiTheme="minorHAnsi" w:cstheme="minorHAnsi"/>
          <w:bCs/>
          <w:sz w:val="24"/>
          <w:szCs w:val="24"/>
        </w:rPr>
        <w:t xml:space="preserve">Šampion uspěl v konkurenci </w:t>
      </w:r>
      <w:r w:rsidR="00AB0E6C">
        <w:rPr>
          <w:rFonts w:asciiTheme="minorHAnsi" w:hAnsiTheme="minorHAnsi" w:cstheme="minorHAnsi"/>
          <w:bCs/>
          <w:sz w:val="24"/>
          <w:szCs w:val="24"/>
        </w:rPr>
        <w:t xml:space="preserve">více </w:t>
      </w:r>
      <w:r w:rsidR="00B96E8B">
        <w:rPr>
          <w:rFonts w:asciiTheme="minorHAnsi" w:hAnsiTheme="minorHAnsi" w:cstheme="minorHAnsi"/>
          <w:bCs/>
          <w:sz w:val="24"/>
          <w:szCs w:val="24"/>
        </w:rPr>
        <w:t xml:space="preserve">téměř 2400 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moravských a českých vín přihlášených do soutěže. Nejprve postoupil z nominačního kola Národní soutěže vín – vinařské oblasti Morava / </w:t>
      </w:r>
      <w:r w:rsidR="00B96E8B">
        <w:rPr>
          <w:rFonts w:asciiTheme="minorHAnsi" w:hAnsiTheme="minorHAnsi" w:cstheme="minorHAnsi"/>
          <w:bCs/>
          <w:sz w:val="24"/>
          <w:szCs w:val="24"/>
        </w:rPr>
        <w:t xml:space="preserve">mikulovské </w:t>
      </w:r>
      <w:r w:rsidRPr="00B54632">
        <w:rPr>
          <w:rFonts w:asciiTheme="minorHAnsi" w:hAnsiTheme="minorHAnsi" w:cstheme="minorHAnsi"/>
          <w:bCs/>
          <w:sz w:val="24"/>
          <w:szCs w:val="24"/>
        </w:rPr>
        <w:t>vinařské podoblasti do prvního národního kola</w:t>
      </w:r>
      <w:r w:rsidR="00AB0E6C">
        <w:rPr>
          <w:rFonts w:asciiTheme="minorHAnsi" w:hAnsiTheme="minorHAnsi" w:cstheme="minorHAnsi"/>
          <w:bCs/>
          <w:sz w:val="24"/>
          <w:szCs w:val="24"/>
        </w:rPr>
        <w:t xml:space="preserve">. Z něj dále uspěl v konkurenci </w:t>
      </w:r>
      <w:r w:rsidR="00AB0E6C" w:rsidRPr="00AB0E6C">
        <w:rPr>
          <w:rFonts w:asciiTheme="minorHAnsi" w:hAnsiTheme="minorHAnsi" w:cstheme="minorHAnsi"/>
          <w:bCs/>
          <w:sz w:val="24"/>
          <w:szCs w:val="24"/>
        </w:rPr>
        <w:t>1479 nominovaných vín od 202 vinařů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B0E6C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B54632">
        <w:rPr>
          <w:rFonts w:asciiTheme="minorHAnsi" w:hAnsiTheme="minorHAnsi" w:cstheme="minorHAnsi"/>
          <w:bCs/>
          <w:sz w:val="24"/>
          <w:szCs w:val="24"/>
        </w:rPr>
        <w:t>dále</w:t>
      </w:r>
      <w:r w:rsidR="00AB0E6C">
        <w:rPr>
          <w:rFonts w:asciiTheme="minorHAnsi" w:hAnsiTheme="minorHAnsi" w:cstheme="minorHAnsi"/>
          <w:bCs/>
          <w:sz w:val="24"/>
          <w:szCs w:val="24"/>
        </w:rPr>
        <w:t xml:space="preserve"> postoupil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 do druhého finálového kola Salonu vín – národní soutěže vín 20</w:t>
      </w:r>
      <w:r>
        <w:rPr>
          <w:rFonts w:asciiTheme="minorHAnsi" w:hAnsiTheme="minorHAnsi" w:cstheme="minorHAnsi"/>
          <w:bCs/>
          <w:sz w:val="24"/>
          <w:szCs w:val="24"/>
        </w:rPr>
        <w:t>20</w:t>
      </w:r>
      <w:r w:rsidRPr="00B54632">
        <w:rPr>
          <w:rFonts w:asciiTheme="minorHAnsi" w:hAnsiTheme="minorHAnsi" w:cstheme="minorHAnsi"/>
          <w:bCs/>
          <w:sz w:val="24"/>
          <w:szCs w:val="24"/>
        </w:rPr>
        <w:t>, které proběhlo 3. – 4. prosince</w:t>
      </w:r>
      <w:r w:rsidR="00B96E8B">
        <w:rPr>
          <w:rFonts w:asciiTheme="minorHAnsi" w:hAnsiTheme="minorHAnsi" w:cstheme="minorHAnsi"/>
          <w:bCs/>
          <w:sz w:val="24"/>
          <w:szCs w:val="24"/>
        </w:rPr>
        <w:t xml:space="preserve"> 2019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 ve Valticích. Odborná porota jej </w:t>
      </w:r>
      <w:r w:rsidR="008A593A">
        <w:rPr>
          <w:rFonts w:asciiTheme="minorHAnsi" w:hAnsiTheme="minorHAnsi" w:cstheme="minorHAnsi"/>
          <w:bCs/>
          <w:sz w:val="24"/>
          <w:szCs w:val="24"/>
        </w:rPr>
        <w:t>z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 400 finalistů </w:t>
      </w:r>
      <w:r>
        <w:rPr>
          <w:rFonts w:asciiTheme="minorHAnsi" w:hAnsiTheme="minorHAnsi" w:cstheme="minorHAnsi"/>
          <w:bCs/>
          <w:sz w:val="24"/>
          <w:szCs w:val="24"/>
        </w:rPr>
        <w:t xml:space="preserve">od 126 vinařských firem 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vyhodnotila jako absolutního vítěze. Šampion se stal zároveň vítězem kategorie </w:t>
      </w:r>
      <w:r w:rsidR="00B96E8B">
        <w:rPr>
          <w:rFonts w:asciiTheme="minorHAnsi" w:hAnsiTheme="minorHAnsi" w:cstheme="minorHAnsi"/>
          <w:bCs/>
          <w:sz w:val="24"/>
          <w:szCs w:val="24"/>
        </w:rPr>
        <w:t>„E“ (červená vína do 4 g/l zbytkového cukru).</w:t>
      </w:r>
    </w:p>
    <w:p w14:paraId="5F11E9F2" w14:textId="77777777" w:rsidR="00D82166" w:rsidRDefault="00D82166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5122170" w14:textId="7D606C2D" w:rsidR="009440DD" w:rsidRPr="009440DD" w:rsidRDefault="009440DD" w:rsidP="009440DD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440DD">
        <w:rPr>
          <w:rFonts w:asciiTheme="minorHAnsi" w:hAnsiTheme="minorHAnsi" w:cstheme="minorHAnsi"/>
          <w:bCs/>
          <w:i/>
          <w:sz w:val="24"/>
          <w:szCs w:val="24"/>
        </w:rPr>
        <w:t xml:space="preserve">„Toto Rulandské modré vzniklo z perfektně vyzrálých hroznů z Dolních Dunajovic z trati Zimní vrch. Ruční sběr, </w:t>
      </w:r>
      <w:r w:rsidR="00863B0C">
        <w:rPr>
          <w:rFonts w:asciiTheme="minorHAnsi" w:hAnsiTheme="minorHAnsi" w:cstheme="minorHAnsi"/>
          <w:bCs/>
          <w:i/>
          <w:sz w:val="24"/>
          <w:szCs w:val="24"/>
        </w:rPr>
        <w:t>deseti</w:t>
      </w:r>
      <w:r w:rsidRPr="009440DD">
        <w:rPr>
          <w:rFonts w:asciiTheme="minorHAnsi" w:hAnsiTheme="minorHAnsi" w:cstheme="minorHAnsi"/>
          <w:bCs/>
          <w:i/>
          <w:sz w:val="24"/>
          <w:szCs w:val="24"/>
        </w:rPr>
        <w:t xml:space="preserve">denní kvašení v otevřené nádobě a roční školení v nových 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barikových </w:t>
      </w:r>
      <w:r w:rsidRPr="009440DD">
        <w:rPr>
          <w:rFonts w:asciiTheme="minorHAnsi" w:hAnsiTheme="minorHAnsi" w:cstheme="minorHAnsi"/>
          <w:bCs/>
          <w:i/>
          <w:sz w:val="24"/>
          <w:szCs w:val="24"/>
        </w:rPr>
        <w:t>sudech dalo vzniknout vínu se světlejší rubínovou barv</w:t>
      </w:r>
      <w:r>
        <w:rPr>
          <w:rFonts w:asciiTheme="minorHAnsi" w:hAnsiTheme="minorHAnsi" w:cstheme="minorHAnsi"/>
          <w:bCs/>
          <w:i/>
          <w:sz w:val="24"/>
          <w:szCs w:val="24"/>
        </w:rPr>
        <w:t>o</w:t>
      </w:r>
      <w:r w:rsidRPr="009440DD">
        <w:rPr>
          <w:rFonts w:asciiTheme="minorHAnsi" w:hAnsiTheme="minorHAnsi" w:cstheme="minorHAnsi"/>
          <w:bCs/>
          <w:i/>
          <w:sz w:val="24"/>
          <w:szCs w:val="24"/>
        </w:rPr>
        <w:t>u a příjemnou viskozitou. Ve vůni jsou cítit sušené brusinky, švestky a lehký nádech sladkého koření v závěru. V chuti je elegantní, lehce kořenité s příjemnou kyselinkou a dlouhým závěrem“,</w:t>
      </w:r>
      <w:r w:rsidRPr="009440DD">
        <w:rPr>
          <w:rFonts w:asciiTheme="minorHAnsi" w:hAnsiTheme="minorHAnsi" w:cstheme="minorHAnsi"/>
          <w:bCs/>
          <w:sz w:val="24"/>
          <w:szCs w:val="24"/>
        </w:rPr>
        <w:t xml:space="preserve"> komentuje Ing. Zbyněk Žiška, hlavní enolog Zámeckého vinařství Bzenec.</w:t>
      </w:r>
    </w:p>
    <w:p w14:paraId="2AB90D2E" w14:textId="7A9A53D9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8FB6AD" w14:textId="42B5AEAB" w:rsid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54632">
        <w:rPr>
          <w:rFonts w:asciiTheme="minorHAnsi" w:hAnsiTheme="minorHAnsi" w:cstheme="minorHAnsi"/>
          <w:bCs/>
          <w:sz w:val="24"/>
          <w:szCs w:val="24"/>
        </w:rPr>
        <w:t>D</w:t>
      </w:r>
      <w:r>
        <w:rPr>
          <w:rFonts w:asciiTheme="minorHAnsi" w:hAnsiTheme="minorHAnsi" w:cstheme="minorHAnsi"/>
          <w:bCs/>
          <w:sz w:val="24"/>
          <w:szCs w:val="24"/>
        </w:rPr>
        <w:t>vace</w:t>
      </w:r>
      <w:r w:rsidRPr="00B54632">
        <w:rPr>
          <w:rFonts w:asciiTheme="minorHAnsi" w:hAnsiTheme="minorHAnsi" w:cstheme="minorHAnsi"/>
          <w:bCs/>
          <w:sz w:val="24"/>
          <w:szCs w:val="24"/>
        </w:rPr>
        <w:t>tiletá tradice, počet přihlášených vzorků, unikátní trojkolový systém hodnocení, pečlivý výběr proškolených degustátorů a profesionální chemické analýzy hodnocených vín jednoznačn</w:t>
      </w:r>
      <w:r>
        <w:rPr>
          <w:rFonts w:asciiTheme="minorHAnsi" w:hAnsiTheme="minorHAnsi" w:cstheme="minorHAnsi"/>
          <w:bCs/>
          <w:sz w:val="24"/>
          <w:szCs w:val="24"/>
        </w:rPr>
        <w:t>ě</w:t>
      </w:r>
      <w:r w:rsidRPr="00B54632">
        <w:rPr>
          <w:rFonts w:asciiTheme="minorHAnsi" w:hAnsiTheme="minorHAnsi" w:cstheme="minorHAnsi"/>
          <w:bCs/>
          <w:sz w:val="24"/>
          <w:szCs w:val="24"/>
        </w:rPr>
        <w:t xml:space="preserve"> činí ze Salonu vín – národní soutěže vín nejprestižnější soutěž vín v České republice.</w:t>
      </w:r>
    </w:p>
    <w:p w14:paraId="4EFAAA44" w14:textId="0162CBDF" w:rsidR="00AB0E6C" w:rsidRDefault="00AB0E6C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633E355" w14:textId="11972022" w:rsidR="00AB0E6C" w:rsidRDefault="00AB0E6C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06CA8"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>„</w:t>
      </w:r>
      <w:r w:rsidR="00710E0A" w:rsidRPr="00C06CA8">
        <w:rPr>
          <w:rFonts w:asciiTheme="minorHAnsi" w:hAnsiTheme="minorHAnsi" w:cstheme="minorHAnsi"/>
          <w:bCs/>
          <w:i/>
          <w:iCs/>
          <w:sz w:val="24"/>
          <w:szCs w:val="24"/>
        </w:rPr>
        <w:t>Hodnocení bylo velmi vyrovnané a koresponduje se špičkovou kvalitou vín ve finálovém kole</w:t>
      </w:r>
      <w:r w:rsidRPr="00C06CA8">
        <w:rPr>
          <w:rFonts w:asciiTheme="minorHAnsi" w:hAnsiTheme="minorHAnsi" w:cstheme="minorHAnsi"/>
          <w:bCs/>
          <w:i/>
          <w:iCs/>
          <w:sz w:val="24"/>
          <w:szCs w:val="24"/>
        </w:rPr>
        <w:t>,“</w:t>
      </w:r>
      <w:r w:rsidRPr="00AB0E6C">
        <w:rPr>
          <w:rFonts w:asciiTheme="minorHAnsi" w:hAnsiTheme="minorHAnsi" w:cstheme="minorHAnsi"/>
          <w:bCs/>
          <w:sz w:val="24"/>
          <w:szCs w:val="24"/>
        </w:rPr>
        <w:t xml:space="preserve"> komentuje Ing. Pavel Krška, ředitel Národního vinařského centra, které soutěž organizuje</w:t>
      </w:r>
      <w:r w:rsidR="00C06CA8">
        <w:rPr>
          <w:rFonts w:asciiTheme="minorHAnsi" w:hAnsiTheme="minorHAnsi" w:cstheme="minorHAnsi"/>
          <w:bCs/>
          <w:sz w:val="24"/>
          <w:szCs w:val="24"/>
        </w:rPr>
        <w:t xml:space="preserve"> a dodává: </w:t>
      </w:r>
      <w:r w:rsidR="00C06CA8" w:rsidRPr="00C06CA8">
        <w:rPr>
          <w:rFonts w:asciiTheme="minorHAnsi" w:hAnsiTheme="minorHAnsi" w:cstheme="minorHAnsi"/>
          <w:bCs/>
          <w:i/>
          <w:iCs/>
          <w:sz w:val="24"/>
          <w:szCs w:val="24"/>
        </w:rPr>
        <w:t>„</w:t>
      </w:r>
      <w:r w:rsidR="00710E0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Velmi nás těší vzrůstající zájem o soutěž nejenom ze strany vinařů, kteří se přímo se svými víny účastní soutěže, ale také následně ze strany </w:t>
      </w:r>
      <w:r w:rsidR="00710E0A" w:rsidRPr="00710E0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návštěvníků </w:t>
      </w:r>
      <w:r w:rsidR="00710E0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expozice </w:t>
      </w:r>
      <w:r w:rsidR="00710E0A" w:rsidRPr="00710E0A">
        <w:rPr>
          <w:rFonts w:asciiTheme="minorHAnsi" w:hAnsiTheme="minorHAnsi" w:cstheme="minorHAnsi"/>
          <w:bCs/>
          <w:i/>
          <w:iCs/>
          <w:sz w:val="24"/>
          <w:szCs w:val="24"/>
        </w:rPr>
        <w:t>Salonu vín, tedy absolventů některého z degustačních programů</w:t>
      </w:r>
      <w:r w:rsidR="00B96E8B">
        <w:rPr>
          <w:rFonts w:asciiTheme="minorHAnsi" w:hAnsiTheme="minorHAnsi" w:cstheme="minorHAnsi"/>
          <w:bCs/>
          <w:i/>
          <w:iCs/>
          <w:sz w:val="24"/>
          <w:szCs w:val="24"/>
        </w:rPr>
        <w:t>. Skutečnost, že letos vyhrálo červené víno, svědčí o stále rostoucí kvalitě nejen našich bílých vín, ale i vín červených, která jsou srovnatelná se špičkovými červenými světovými víny</w:t>
      </w:r>
      <w:r w:rsidR="00863B0C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  <w:r w:rsidR="00C06CA8" w:rsidRPr="00C06CA8">
        <w:rPr>
          <w:rFonts w:asciiTheme="minorHAnsi" w:hAnsiTheme="minorHAnsi" w:cstheme="minorHAnsi"/>
          <w:bCs/>
          <w:i/>
          <w:iCs/>
          <w:sz w:val="24"/>
          <w:szCs w:val="24"/>
        </w:rPr>
        <w:t>“</w:t>
      </w:r>
      <w:bookmarkStart w:id="0" w:name="_GoBack"/>
      <w:bookmarkEnd w:id="0"/>
    </w:p>
    <w:p w14:paraId="029EBFB7" w14:textId="77777777" w:rsidR="00B54632" w:rsidRPr="00B54632" w:rsidRDefault="00B54632" w:rsidP="00645C1E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B5A0926" w14:textId="4CDC8BAA" w:rsidR="00AB0E6C" w:rsidRPr="00AB0E6C" w:rsidRDefault="00AB0E6C" w:rsidP="00AB0E6C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AB0E6C">
        <w:rPr>
          <w:rFonts w:cs="Calibri"/>
          <w:bCs/>
          <w:sz w:val="24"/>
          <w:szCs w:val="24"/>
        </w:rPr>
        <w:t>Slavnostní vyhlášení všech držitelů prestižního titulu „Zlatá medaile Salonu vín ČR 20</w:t>
      </w:r>
      <w:r>
        <w:rPr>
          <w:rFonts w:cs="Calibri"/>
          <w:bCs/>
          <w:sz w:val="24"/>
          <w:szCs w:val="24"/>
        </w:rPr>
        <w:t>20</w:t>
      </w:r>
      <w:r w:rsidRPr="00AB0E6C">
        <w:rPr>
          <w:rFonts w:cs="Calibri"/>
          <w:bCs/>
          <w:sz w:val="24"/>
          <w:szCs w:val="24"/>
        </w:rPr>
        <w:t>“, a tedy i složení degustační expozice stovky nejlepších moravských a českých vín pro rok 20</w:t>
      </w:r>
      <w:r>
        <w:rPr>
          <w:rFonts w:cs="Calibri"/>
          <w:bCs/>
          <w:sz w:val="24"/>
          <w:szCs w:val="24"/>
        </w:rPr>
        <w:t>20</w:t>
      </w:r>
      <w:r w:rsidRPr="00AB0E6C">
        <w:rPr>
          <w:rFonts w:cs="Calibri"/>
          <w:bCs/>
          <w:sz w:val="24"/>
          <w:szCs w:val="24"/>
        </w:rPr>
        <w:t xml:space="preserve">, vítězů jednotlivých kategorií a nejlepší kolekce proběhne </w:t>
      </w:r>
      <w:r>
        <w:rPr>
          <w:rFonts w:cs="Calibri"/>
          <w:bCs/>
          <w:sz w:val="24"/>
          <w:szCs w:val="24"/>
        </w:rPr>
        <w:t>5</w:t>
      </w:r>
      <w:r w:rsidRPr="00AB0E6C">
        <w:rPr>
          <w:rFonts w:cs="Calibri"/>
          <w:bCs/>
          <w:sz w:val="24"/>
          <w:szCs w:val="24"/>
        </w:rPr>
        <w:t>. února ve Valticích. Nová kolekce Salonu vín 20</w:t>
      </w:r>
      <w:r>
        <w:rPr>
          <w:rFonts w:cs="Calibri"/>
          <w:bCs/>
          <w:sz w:val="24"/>
          <w:szCs w:val="24"/>
        </w:rPr>
        <w:t>20</w:t>
      </w:r>
      <w:r w:rsidRPr="00AB0E6C">
        <w:rPr>
          <w:rFonts w:cs="Calibri"/>
          <w:bCs/>
          <w:sz w:val="24"/>
          <w:szCs w:val="24"/>
        </w:rPr>
        <w:t xml:space="preserve"> bude pro veřejnost otevřena opět od </w:t>
      </w:r>
      <w:r>
        <w:rPr>
          <w:rFonts w:cs="Calibri"/>
          <w:bCs/>
          <w:sz w:val="24"/>
          <w:szCs w:val="24"/>
        </w:rPr>
        <w:t>čtvrtka</w:t>
      </w:r>
      <w:r w:rsidRPr="00AB0E6C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>6</w:t>
      </w:r>
      <w:r w:rsidRPr="00AB0E6C">
        <w:rPr>
          <w:rFonts w:cs="Calibri"/>
          <w:bCs/>
          <w:sz w:val="24"/>
          <w:szCs w:val="24"/>
        </w:rPr>
        <w:t>. února 20</w:t>
      </w:r>
      <w:r>
        <w:rPr>
          <w:rFonts w:cs="Calibri"/>
          <w:bCs/>
          <w:sz w:val="24"/>
          <w:szCs w:val="24"/>
        </w:rPr>
        <w:t>20</w:t>
      </w:r>
      <w:r w:rsidRPr="00AB0E6C">
        <w:rPr>
          <w:rFonts w:cs="Calibri"/>
          <w:bCs/>
          <w:sz w:val="24"/>
          <w:szCs w:val="24"/>
        </w:rPr>
        <w:t>. Stávající degustační expozice Salonu vín ČR 201</w:t>
      </w:r>
      <w:r>
        <w:rPr>
          <w:rFonts w:cs="Calibri"/>
          <w:bCs/>
          <w:sz w:val="24"/>
          <w:szCs w:val="24"/>
        </w:rPr>
        <w:t>9</w:t>
      </w:r>
      <w:r w:rsidRPr="00AB0E6C">
        <w:rPr>
          <w:rFonts w:cs="Calibri"/>
          <w:bCs/>
          <w:sz w:val="24"/>
          <w:szCs w:val="24"/>
        </w:rPr>
        <w:t xml:space="preserve"> bude otevřena do 1</w:t>
      </w:r>
      <w:r>
        <w:rPr>
          <w:rFonts w:cs="Calibri"/>
          <w:bCs/>
          <w:sz w:val="24"/>
          <w:szCs w:val="24"/>
        </w:rPr>
        <w:t>4</w:t>
      </w:r>
      <w:r w:rsidRPr="00AB0E6C">
        <w:rPr>
          <w:rFonts w:cs="Calibri"/>
          <w:bCs/>
          <w:sz w:val="24"/>
          <w:szCs w:val="24"/>
        </w:rPr>
        <w:t>. prosince 201</w:t>
      </w:r>
      <w:r>
        <w:rPr>
          <w:rFonts w:cs="Calibri"/>
          <w:bCs/>
          <w:sz w:val="24"/>
          <w:szCs w:val="24"/>
        </w:rPr>
        <w:t>9</w:t>
      </w:r>
      <w:r w:rsidRPr="00AB0E6C">
        <w:rPr>
          <w:rFonts w:cs="Calibri"/>
          <w:bCs/>
          <w:sz w:val="24"/>
          <w:szCs w:val="24"/>
        </w:rPr>
        <w:t xml:space="preserve">, poté bude expozice uzavřena a bude probíhat její příprava na znovuotevření. </w:t>
      </w:r>
    </w:p>
    <w:p w14:paraId="070AC1B3" w14:textId="77777777" w:rsidR="00AB0E6C" w:rsidRDefault="00AB0E6C" w:rsidP="00AB0E6C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155E276" w14:textId="2B1F3DD8" w:rsidR="00DB6D79" w:rsidRDefault="00AB0E6C" w:rsidP="00AB0E6C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AB0E6C">
        <w:rPr>
          <w:rFonts w:cs="Calibri"/>
          <w:bCs/>
          <w:sz w:val="24"/>
          <w:szCs w:val="24"/>
        </w:rPr>
        <w:t>V Salonu vín je celoročně prezentováno 100 nejlepších vín s oceněním „Zlatá medaile Salonu vín“. Mimo to jsou formou krátkodobých prezentací představovány vína s oceněním „Stříbrná medaile Salonu vín“, vína oceněná na zahraničních soutěžích, mladá růžová vína atd. Součástí expozice je také Síň slávy vinařství ČR.</w:t>
      </w:r>
    </w:p>
    <w:p w14:paraId="68945F35" w14:textId="1F1568FF" w:rsidR="008A593A" w:rsidRDefault="008A593A" w:rsidP="00AB0E6C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599B85E1" w14:textId="34ABB8FC" w:rsidR="00181003" w:rsidRDefault="00AB0E6C" w:rsidP="008A593A">
      <w:pPr>
        <w:spacing w:after="160" w:line="259" w:lineRule="auto"/>
        <w:rPr>
          <w:rFonts w:ascii="Calibri" w:hAnsi="Calibri" w:cs="Calibri"/>
          <w:lang w:eastAsia="en-US"/>
        </w:rPr>
      </w:pPr>
      <w:r w:rsidRPr="00181003">
        <w:rPr>
          <w:rFonts w:ascii="Calibri" w:hAnsi="Calibri" w:cs="Calibri"/>
          <w:lang w:eastAsia="en-US"/>
        </w:rPr>
        <w:t xml:space="preserve">Více na </w:t>
      </w:r>
      <w:hyperlink r:id="rId8" w:history="1">
        <w:r w:rsidRPr="004C11B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181003">
        <w:rPr>
          <w:rFonts w:ascii="Calibri" w:hAnsi="Calibri" w:cs="Calibri"/>
          <w:lang w:eastAsia="en-US"/>
        </w:rPr>
        <w:t xml:space="preserve">, </w:t>
      </w:r>
      <w:hyperlink r:id="rId9" w:history="1">
        <w:r w:rsidRPr="004C11B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181003">
        <w:rPr>
          <w:rFonts w:ascii="Calibri" w:hAnsi="Calibri" w:cs="Calibri"/>
          <w:lang w:eastAsia="en-US"/>
        </w:rPr>
        <w:t xml:space="preserve"> a </w:t>
      </w:r>
      <w:hyperlink r:id="rId10" w:history="1">
        <w:r w:rsidRPr="004C11B4">
          <w:rPr>
            <w:rStyle w:val="Hypertextovodkaz"/>
            <w:rFonts w:ascii="Calibri" w:hAnsi="Calibri" w:cs="Calibri"/>
            <w:lang w:eastAsia="en-US"/>
          </w:rPr>
          <w:t>www.wineofczechrepublic.cz</w:t>
        </w:r>
      </w:hyperlink>
    </w:p>
    <w:p w14:paraId="3E6C00EC" w14:textId="0E084C62" w:rsidR="00181003" w:rsidRPr="00DB6D79" w:rsidRDefault="00181003" w:rsidP="00DB6D79">
      <w:pPr>
        <w:jc w:val="both"/>
        <w:rPr>
          <w:rFonts w:ascii="Calibri" w:hAnsi="Calibri" w:cs="Calibri"/>
          <w:lang w:eastAsia="en-US"/>
        </w:rPr>
      </w:pPr>
    </w:p>
    <w:sectPr w:rsidR="00181003" w:rsidRPr="00DB6D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B2C01" w14:textId="77777777" w:rsidR="001B59C3" w:rsidRDefault="001B59C3">
      <w:r>
        <w:separator/>
      </w:r>
    </w:p>
  </w:endnote>
  <w:endnote w:type="continuationSeparator" w:id="0">
    <w:p w14:paraId="099D30E6" w14:textId="77777777" w:rsidR="001B59C3" w:rsidRDefault="001B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6EF484F6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26E38D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719C6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2680DE51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59DCEDF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Pavel Krška, ředitel Národního vinařského centra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2162472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454C1834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8DD860C" w14:textId="77777777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pavel.krska@vinarskecentrum.cz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6C42D1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29C263B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13495949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519 352 072, 721 414 575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F3098D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606 282 673 </w:t>
          </w:r>
        </w:p>
      </w:tc>
    </w:tr>
  </w:tbl>
  <w:p w14:paraId="2178BA01" w14:textId="77777777" w:rsidR="003B70FC" w:rsidRDefault="00863B0C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C4B66" w14:textId="77777777" w:rsidR="001B59C3" w:rsidRDefault="001B59C3">
      <w:r>
        <w:separator/>
      </w:r>
    </w:p>
  </w:footnote>
  <w:footnote w:type="continuationSeparator" w:id="0">
    <w:p w14:paraId="75A477C5" w14:textId="77777777" w:rsidR="001B59C3" w:rsidRDefault="001B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D38DD" w14:textId="77777777" w:rsidR="003B70FC" w:rsidRDefault="001C2D46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0DCF9B" wp14:editId="6CE242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F23D63D" wp14:editId="5CDEA66B">
          <wp:simplePos x="0" y="0"/>
          <wp:positionH relativeFrom="margin">
            <wp:posOffset>5036820</wp:posOffset>
          </wp:positionH>
          <wp:positionV relativeFrom="paragraph">
            <wp:posOffset>0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2B6E66" w14:textId="77777777" w:rsidR="003B70FC" w:rsidRDefault="00863B0C" w:rsidP="00520487">
    <w:pPr>
      <w:pStyle w:val="Zhlav"/>
      <w:jc w:val="right"/>
    </w:pPr>
  </w:p>
  <w:p w14:paraId="0436F90E" w14:textId="77777777" w:rsidR="003B70FC" w:rsidRDefault="00863B0C" w:rsidP="00520487">
    <w:pPr>
      <w:pStyle w:val="Zhlav"/>
      <w:jc w:val="right"/>
    </w:pPr>
  </w:p>
  <w:p w14:paraId="4BFD31D4" w14:textId="77777777" w:rsidR="003B70FC" w:rsidRDefault="00863B0C" w:rsidP="00520487">
    <w:pPr>
      <w:pStyle w:val="Zhlav"/>
      <w:jc w:val="right"/>
    </w:pPr>
  </w:p>
  <w:p w14:paraId="4B6D5E24" w14:textId="77777777" w:rsidR="003B70FC" w:rsidRDefault="00645C1E" w:rsidP="00520487">
    <w:pPr>
      <w:pStyle w:val="Zhlav"/>
      <w:jc w:val="right"/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173AE"/>
    <w:rsid w:val="000202D6"/>
    <w:rsid w:val="000561F0"/>
    <w:rsid w:val="000B1381"/>
    <w:rsid w:val="001659C0"/>
    <w:rsid w:val="00181003"/>
    <w:rsid w:val="001A657E"/>
    <w:rsid w:val="001A7F92"/>
    <w:rsid w:val="001B59C3"/>
    <w:rsid w:val="001C2D46"/>
    <w:rsid w:val="001F2BDC"/>
    <w:rsid w:val="002A2750"/>
    <w:rsid w:val="002A5873"/>
    <w:rsid w:val="002B759B"/>
    <w:rsid w:val="002D2745"/>
    <w:rsid w:val="00302972"/>
    <w:rsid w:val="0031300A"/>
    <w:rsid w:val="00390361"/>
    <w:rsid w:val="00404CDF"/>
    <w:rsid w:val="00430729"/>
    <w:rsid w:val="004357B0"/>
    <w:rsid w:val="00437AB2"/>
    <w:rsid w:val="00466971"/>
    <w:rsid w:val="00507AB3"/>
    <w:rsid w:val="005A02F3"/>
    <w:rsid w:val="00645C1E"/>
    <w:rsid w:val="00667510"/>
    <w:rsid w:val="006B7572"/>
    <w:rsid w:val="00710E0A"/>
    <w:rsid w:val="007128C7"/>
    <w:rsid w:val="00712B3B"/>
    <w:rsid w:val="00760DAB"/>
    <w:rsid w:val="00863B0C"/>
    <w:rsid w:val="008A593A"/>
    <w:rsid w:val="008C0639"/>
    <w:rsid w:val="008E2C29"/>
    <w:rsid w:val="0092443D"/>
    <w:rsid w:val="009440DD"/>
    <w:rsid w:val="009C65EC"/>
    <w:rsid w:val="00A02447"/>
    <w:rsid w:val="00A0534A"/>
    <w:rsid w:val="00A14A8B"/>
    <w:rsid w:val="00A62725"/>
    <w:rsid w:val="00A94E91"/>
    <w:rsid w:val="00AB0E6C"/>
    <w:rsid w:val="00B54632"/>
    <w:rsid w:val="00B81CB8"/>
    <w:rsid w:val="00B96E8B"/>
    <w:rsid w:val="00BA1F97"/>
    <w:rsid w:val="00C06CA8"/>
    <w:rsid w:val="00D27743"/>
    <w:rsid w:val="00D45BDA"/>
    <w:rsid w:val="00D82166"/>
    <w:rsid w:val="00DA1660"/>
    <w:rsid w:val="00DB6D79"/>
    <w:rsid w:val="00DE016F"/>
    <w:rsid w:val="00E253D2"/>
    <w:rsid w:val="00E5268A"/>
    <w:rsid w:val="00EB4BB5"/>
    <w:rsid w:val="00EE740E"/>
    <w:rsid w:val="00F04E3E"/>
    <w:rsid w:val="00F401DC"/>
    <w:rsid w:val="00FA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4B085C"/>
  <w15:chartTrackingRefBased/>
  <w15:docId w15:val="{DD263303-4CA9-4DB8-A0A4-2D19B9EC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vin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ineofczechrepubli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pavel.krsk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kriz</cp:lastModifiedBy>
  <cp:revision>4</cp:revision>
  <cp:lastPrinted>2019-12-04T14:08:00Z</cp:lastPrinted>
  <dcterms:created xsi:type="dcterms:W3CDTF">2019-12-04T14:33:00Z</dcterms:created>
  <dcterms:modified xsi:type="dcterms:W3CDTF">2019-12-04T14:35:00Z</dcterms:modified>
</cp:coreProperties>
</file>