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D8" w:rsidRPr="005F6612" w:rsidRDefault="006D49D8" w:rsidP="006D49D8">
      <w:pPr>
        <w:pStyle w:val="Default"/>
        <w:rPr>
          <w:rFonts w:asciiTheme="minorHAnsi" w:hAnsiTheme="minorHAnsi"/>
        </w:rPr>
      </w:pPr>
    </w:p>
    <w:p w:rsidR="006D49D8" w:rsidRPr="005F6612" w:rsidRDefault="006D49D8" w:rsidP="006D49D8">
      <w:pPr>
        <w:pStyle w:val="Pa0"/>
        <w:spacing w:after="100"/>
        <w:jc w:val="both"/>
        <w:rPr>
          <w:rFonts w:asciiTheme="minorHAnsi" w:hAnsiTheme="minorHAnsi" w:cs="DaxPro-Regular"/>
          <w:color w:val="000000"/>
        </w:rPr>
      </w:pPr>
      <w:r w:rsidRPr="005F6612">
        <w:rPr>
          <w:rFonts w:asciiTheme="minorHAnsi" w:hAnsiTheme="minorHAnsi"/>
        </w:rPr>
        <w:t xml:space="preserve"> </w:t>
      </w:r>
      <w:r w:rsidRPr="005F6612">
        <w:rPr>
          <w:rFonts w:asciiTheme="minorHAnsi" w:hAnsiTheme="minorHAnsi"/>
        </w:rPr>
        <w:tab/>
      </w:r>
      <w:r w:rsidRPr="005F6612">
        <w:rPr>
          <w:rFonts w:asciiTheme="minorHAnsi" w:hAnsiTheme="minorHAnsi"/>
        </w:rPr>
        <w:tab/>
      </w:r>
      <w:r w:rsidRPr="005F6612">
        <w:rPr>
          <w:rFonts w:asciiTheme="minorHAnsi" w:hAnsiTheme="minorHAnsi"/>
        </w:rPr>
        <w:tab/>
      </w:r>
      <w:r w:rsidRPr="005F6612">
        <w:rPr>
          <w:rFonts w:asciiTheme="minorHAnsi" w:hAnsiTheme="minorHAnsi"/>
        </w:rPr>
        <w:tab/>
      </w:r>
      <w:r w:rsidRPr="005F6612">
        <w:rPr>
          <w:rFonts w:asciiTheme="minorHAnsi" w:hAnsiTheme="minorHAnsi"/>
        </w:rPr>
        <w:tab/>
      </w:r>
      <w:r w:rsidRPr="005F6612">
        <w:rPr>
          <w:rFonts w:asciiTheme="minorHAnsi" w:hAnsiTheme="minorHAnsi"/>
        </w:rPr>
        <w:tab/>
      </w:r>
      <w:r w:rsidRPr="005F6612">
        <w:rPr>
          <w:rFonts w:asciiTheme="minorHAnsi" w:hAnsiTheme="minorHAnsi"/>
        </w:rPr>
        <w:tab/>
      </w:r>
      <w:r w:rsidRPr="005F6612">
        <w:rPr>
          <w:rFonts w:asciiTheme="minorHAnsi" w:hAnsiTheme="minorHAnsi"/>
        </w:rPr>
        <w:tab/>
      </w:r>
      <w:r w:rsidRPr="005F6612">
        <w:rPr>
          <w:rFonts w:asciiTheme="minorHAnsi" w:hAnsiTheme="minorHAnsi"/>
        </w:rPr>
        <w:tab/>
        <w:t xml:space="preserve">         </w:t>
      </w:r>
      <w:r w:rsidRPr="005F6612">
        <w:rPr>
          <w:rStyle w:val="A0"/>
          <w:rFonts w:asciiTheme="minorHAnsi" w:hAnsiTheme="minorHAnsi"/>
          <w:sz w:val="24"/>
          <w:szCs w:val="24"/>
        </w:rPr>
        <w:t>V Brně dne 3. 4. 2012</w:t>
      </w:r>
    </w:p>
    <w:p w:rsidR="006D49D8" w:rsidRPr="005F6612" w:rsidRDefault="006D49D8" w:rsidP="006D49D8">
      <w:pPr>
        <w:pStyle w:val="Pa0"/>
        <w:spacing w:after="100"/>
        <w:jc w:val="both"/>
        <w:rPr>
          <w:rFonts w:asciiTheme="minorHAnsi" w:hAnsiTheme="minorHAnsi" w:cs="DaxPro-Regular"/>
          <w:color w:val="000000"/>
        </w:rPr>
      </w:pPr>
      <w:r w:rsidRPr="005F6612">
        <w:rPr>
          <w:rStyle w:val="A0"/>
          <w:rFonts w:asciiTheme="minorHAnsi" w:hAnsiTheme="minorHAnsi"/>
          <w:sz w:val="24"/>
          <w:szCs w:val="24"/>
        </w:rPr>
        <w:t>Vážení vinaři,</w:t>
      </w:r>
    </w:p>
    <w:p w:rsidR="006D49D8" w:rsidRPr="005F6612" w:rsidRDefault="006D49D8" w:rsidP="006D49D8">
      <w:pPr>
        <w:pStyle w:val="Pa0"/>
        <w:spacing w:after="100"/>
        <w:jc w:val="both"/>
        <w:rPr>
          <w:rFonts w:asciiTheme="minorHAnsi" w:hAnsiTheme="minorHAnsi" w:cs="DaxPro-Regular"/>
          <w:color w:val="000000"/>
        </w:rPr>
      </w:pPr>
      <w:r w:rsidRPr="005F6612">
        <w:rPr>
          <w:rStyle w:val="A0"/>
          <w:rFonts w:asciiTheme="minorHAnsi" w:hAnsiTheme="minorHAnsi"/>
          <w:sz w:val="24"/>
          <w:szCs w:val="24"/>
        </w:rPr>
        <w:t>dovolujeme si Vás oslovit s informacemi o aktuálně připravované prezentační akci tuzemských růžových vín – Svátku růžových vín v Praze. Letošní již čtvrtý ročník projektu RŮŽOVÉ CZ pokračuje v úspěšném rozvíjení filosofie prezentace tuzemských růžových vín jako moderního svěžího nápoje, ideálního právě pro letní období.</w:t>
      </w:r>
    </w:p>
    <w:p w:rsidR="006D49D8" w:rsidRPr="005F6612" w:rsidRDefault="006D49D8" w:rsidP="006D49D8">
      <w:pPr>
        <w:pStyle w:val="Pa0"/>
        <w:spacing w:after="100"/>
        <w:jc w:val="both"/>
        <w:rPr>
          <w:rFonts w:asciiTheme="minorHAnsi" w:hAnsiTheme="minorHAnsi" w:cs="DaxPro-Regular"/>
          <w:color w:val="000000"/>
        </w:rPr>
      </w:pPr>
      <w:r w:rsidRPr="005F6612">
        <w:rPr>
          <w:rStyle w:val="A0"/>
          <w:rFonts w:asciiTheme="minorHAnsi" w:hAnsiTheme="minorHAnsi"/>
          <w:sz w:val="24"/>
          <w:szCs w:val="24"/>
        </w:rPr>
        <w:t xml:space="preserve">Stejně tak jako i v předchozích třech ročnících máte možnost se do tohoto projektu zapojit. Svátek růžových vín, se uskuteční </w:t>
      </w:r>
      <w:r w:rsidRPr="005F6612">
        <w:rPr>
          <w:rStyle w:val="A0"/>
          <w:rFonts w:asciiTheme="minorHAnsi" w:hAnsiTheme="minorHAnsi" w:cs="DaxPro-Medium"/>
          <w:b/>
          <w:sz w:val="24"/>
          <w:szCs w:val="24"/>
        </w:rPr>
        <w:t>1. května 2012 od 10 do 18 hod.</w:t>
      </w:r>
      <w:r w:rsidRPr="005F6612">
        <w:rPr>
          <w:rStyle w:val="A0"/>
          <w:rFonts w:asciiTheme="minorHAnsi" w:hAnsiTheme="minorHAnsi" w:cs="DaxPro-Medium"/>
          <w:sz w:val="24"/>
          <w:szCs w:val="24"/>
        </w:rPr>
        <w:t xml:space="preserve">, v atraktivním prostředí </w:t>
      </w:r>
      <w:proofErr w:type="spellStart"/>
      <w:r w:rsidRPr="005F6612">
        <w:rPr>
          <w:rStyle w:val="A0"/>
          <w:rFonts w:asciiTheme="minorHAnsi" w:hAnsiTheme="minorHAnsi" w:cs="DaxPro-Medium"/>
          <w:b/>
          <w:sz w:val="24"/>
          <w:szCs w:val="24"/>
        </w:rPr>
        <w:t>Villy</w:t>
      </w:r>
      <w:proofErr w:type="spellEnd"/>
      <w:r w:rsidRPr="005F6612">
        <w:rPr>
          <w:rStyle w:val="A0"/>
          <w:rFonts w:asciiTheme="minorHAnsi" w:hAnsiTheme="minorHAnsi" w:cs="DaxPro-Medium"/>
          <w:b/>
          <w:sz w:val="24"/>
          <w:szCs w:val="24"/>
        </w:rPr>
        <w:t xml:space="preserve"> Richter v Praze</w:t>
      </w:r>
      <w:r w:rsidRPr="005F6612">
        <w:rPr>
          <w:rStyle w:val="A0"/>
          <w:rFonts w:asciiTheme="minorHAnsi" w:hAnsiTheme="minorHAnsi" w:cs="DaxPro-Medium"/>
          <w:sz w:val="24"/>
          <w:szCs w:val="24"/>
        </w:rPr>
        <w:t xml:space="preserve"> </w:t>
      </w:r>
      <w:r w:rsidRPr="005F6612">
        <w:rPr>
          <w:rStyle w:val="A0"/>
          <w:rFonts w:asciiTheme="minorHAnsi" w:hAnsiTheme="minorHAnsi"/>
          <w:sz w:val="24"/>
          <w:szCs w:val="24"/>
        </w:rPr>
        <w:t xml:space="preserve">a na přilehlé Svatováclavské vinici. </w:t>
      </w:r>
    </w:p>
    <w:p w:rsidR="006D49D8" w:rsidRPr="005F6612" w:rsidRDefault="006D49D8" w:rsidP="006D49D8">
      <w:pPr>
        <w:pStyle w:val="Pa0"/>
        <w:spacing w:after="100"/>
        <w:jc w:val="both"/>
        <w:rPr>
          <w:rFonts w:asciiTheme="minorHAnsi" w:hAnsiTheme="minorHAnsi" w:cs="DaxPro-Regular"/>
          <w:color w:val="000000"/>
        </w:rPr>
      </w:pPr>
      <w:r w:rsidRPr="005F6612">
        <w:rPr>
          <w:rStyle w:val="A0"/>
          <w:rFonts w:asciiTheme="minorHAnsi" w:hAnsiTheme="minorHAnsi"/>
          <w:sz w:val="24"/>
          <w:szCs w:val="24"/>
        </w:rPr>
        <w:t xml:space="preserve">Svátek růžových vín v roce 2012 bude určený pro širokou veřejnost jako prezentace a propagace </w:t>
      </w:r>
      <w:proofErr w:type="spellStart"/>
      <w:r w:rsidRPr="005F6612">
        <w:rPr>
          <w:rStyle w:val="A0"/>
          <w:rFonts w:asciiTheme="minorHAnsi" w:hAnsiTheme="minorHAnsi"/>
          <w:sz w:val="24"/>
          <w:szCs w:val="24"/>
        </w:rPr>
        <w:t>rosé</w:t>
      </w:r>
      <w:proofErr w:type="spellEnd"/>
      <w:r w:rsidRPr="005F6612">
        <w:rPr>
          <w:rStyle w:val="A0"/>
          <w:rFonts w:asciiTheme="minorHAnsi" w:hAnsiTheme="minorHAnsi"/>
          <w:sz w:val="24"/>
          <w:szCs w:val="24"/>
        </w:rPr>
        <w:t xml:space="preserve"> a proběhne ve Svatováclavské vinici. </w:t>
      </w:r>
    </w:p>
    <w:p w:rsidR="006D49D8" w:rsidRPr="005F6612" w:rsidRDefault="006D49D8" w:rsidP="006D49D8">
      <w:pPr>
        <w:pStyle w:val="Pa1"/>
        <w:spacing w:after="220"/>
        <w:jc w:val="both"/>
        <w:rPr>
          <w:rFonts w:asciiTheme="minorHAnsi" w:hAnsiTheme="minorHAnsi" w:cs="DaxPro-Regular"/>
          <w:color w:val="000000"/>
        </w:rPr>
      </w:pPr>
      <w:r w:rsidRPr="005F6612">
        <w:rPr>
          <w:rStyle w:val="A0"/>
          <w:rFonts w:asciiTheme="minorHAnsi" w:hAnsiTheme="minorHAnsi"/>
          <w:sz w:val="24"/>
          <w:szCs w:val="24"/>
        </w:rPr>
        <w:t>Pro přiblížení organizačních momentů letošní akce si Vám dovolujeme v krátkosti představit její koncepci:</w:t>
      </w:r>
    </w:p>
    <w:p w:rsidR="006D49D8" w:rsidRPr="005F6612" w:rsidRDefault="006D49D8" w:rsidP="006D49D8">
      <w:pPr>
        <w:pStyle w:val="Pa0"/>
        <w:spacing w:after="100"/>
        <w:jc w:val="both"/>
        <w:rPr>
          <w:rFonts w:asciiTheme="minorHAnsi" w:hAnsiTheme="minorHAnsi" w:cs="DaxPro-Medium"/>
          <w:b/>
          <w:color w:val="000000"/>
        </w:rPr>
      </w:pPr>
      <w:r w:rsidRPr="005F6612">
        <w:rPr>
          <w:rStyle w:val="A0"/>
          <w:rFonts w:asciiTheme="minorHAnsi" w:hAnsiTheme="minorHAnsi" w:cs="DaxPro-Medium"/>
          <w:b/>
          <w:sz w:val="24"/>
          <w:szCs w:val="24"/>
        </w:rPr>
        <w:t>Organizační záležitosti pro vinaře</w:t>
      </w:r>
    </w:p>
    <w:p w:rsidR="006D49D8" w:rsidRPr="005F6612" w:rsidRDefault="006D49D8" w:rsidP="006D49D8">
      <w:pPr>
        <w:pStyle w:val="Pa2"/>
        <w:ind w:left="120"/>
        <w:jc w:val="both"/>
        <w:rPr>
          <w:rFonts w:asciiTheme="minorHAnsi" w:hAnsiTheme="minorHAnsi" w:cs="DaxPro-Regular"/>
          <w:color w:val="000000"/>
        </w:rPr>
      </w:pPr>
      <w:r w:rsidRPr="005F6612">
        <w:rPr>
          <w:rStyle w:val="A0"/>
          <w:rFonts w:asciiTheme="minorHAnsi" w:hAnsiTheme="minorHAnsi"/>
          <w:sz w:val="24"/>
          <w:szCs w:val="24"/>
        </w:rPr>
        <w:t xml:space="preserve">• akce se koná </w:t>
      </w:r>
      <w:r w:rsidRPr="005F6612">
        <w:rPr>
          <w:rStyle w:val="A0"/>
          <w:rFonts w:asciiTheme="minorHAnsi" w:hAnsiTheme="minorHAnsi" w:cs="DaxPro-Medium"/>
          <w:sz w:val="24"/>
          <w:szCs w:val="24"/>
        </w:rPr>
        <w:t xml:space="preserve">1. 5. 2012, </w:t>
      </w:r>
      <w:r w:rsidRPr="005F6612">
        <w:rPr>
          <w:rStyle w:val="A0"/>
          <w:rFonts w:asciiTheme="minorHAnsi" w:hAnsiTheme="minorHAnsi"/>
          <w:sz w:val="24"/>
          <w:szCs w:val="24"/>
        </w:rPr>
        <w:t xml:space="preserve">v prostředí </w:t>
      </w:r>
      <w:proofErr w:type="spellStart"/>
      <w:r w:rsidRPr="005F6612">
        <w:rPr>
          <w:rStyle w:val="A0"/>
          <w:rFonts w:asciiTheme="minorHAnsi" w:hAnsiTheme="minorHAnsi" w:cs="DaxPro-Medium"/>
          <w:sz w:val="24"/>
          <w:szCs w:val="24"/>
        </w:rPr>
        <w:t>Villy</w:t>
      </w:r>
      <w:proofErr w:type="spellEnd"/>
      <w:r w:rsidRPr="005F6612">
        <w:rPr>
          <w:rStyle w:val="A0"/>
          <w:rFonts w:asciiTheme="minorHAnsi" w:hAnsiTheme="minorHAnsi" w:cs="DaxPro-Medium"/>
          <w:sz w:val="24"/>
          <w:szCs w:val="24"/>
        </w:rPr>
        <w:t xml:space="preserve"> Richter </w:t>
      </w:r>
      <w:r w:rsidRPr="005F6612">
        <w:rPr>
          <w:rStyle w:val="A0"/>
          <w:rFonts w:asciiTheme="minorHAnsi" w:hAnsiTheme="minorHAnsi"/>
          <w:sz w:val="24"/>
          <w:szCs w:val="24"/>
        </w:rPr>
        <w:t xml:space="preserve">a </w:t>
      </w:r>
      <w:r w:rsidRPr="005F6612">
        <w:rPr>
          <w:rStyle w:val="A0"/>
          <w:rFonts w:asciiTheme="minorHAnsi" w:hAnsiTheme="minorHAnsi" w:cs="DaxPro-Medium"/>
          <w:sz w:val="24"/>
          <w:szCs w:val="24"/>
        </w:rPr>
        <w:t xml:space="preserve">Svatováclavské vinice </w:t>
      </w:r>
      <w:r w:rsidRPr="005F6612">
        <w:rPr>
          <w:rStyle w:val="A0"/>
          <w:rFonts w:asciiTheme="minorHAnsi" w:hAnsiTheme="minorHAnsi"/>
          <w:sz w:val="24"/>
          <w:szCs w:val="24"/>
        </w:rPr>
        <w:t xml:space="preserve">(areál Pražského Hradu), </w:t>
      </w:r>
      <w:r w:rsidRPr="005F6612">
        <w:rPr>
          <w:rStyle w:val="A0"/>
          <w:rFonts w:asciiTheme="minorHAnsi" w:hAnsiTheme="minorHAnsi" w:cs="DaxPro-Medium"/>
          <w:sz w:val="24"/>
          <w:szCs w:val="24"/>
        </w:rPr>
        <w:t>od 10 do</w:t>
      </w:r>
      <w:r w:rsidR="006C658F">
        <w:rPr>
          <w:rStyle w:val="A0"/>
          <w:rFonts w:asciiTheme="minorHAnsi" w:hAnsiTheme="minorHAnsi" w:cs="DaxPro-Medium"/>
          <w:sz w:val="24"/>
          <w:szCs w:val="24"/>
        </w:rPr>
        <w:t xml:space="preserve"> </w:t>
      </w:r>
      <w:r w:rsidRPr="005F6612">
        <w:rPr>
          <w:rStyle w:val="A0"/>
          <w:rFonts w:asciiTheme="minorHAnsi" w:hAnsiTheme="minorHAnsi" w:cs="DaxPro-Medium"/>
          <w:sz w:val="24"/>
          <w:szCs w:val="24"/>
        </w:rPr>
        <w:t xml:space="preserve">18 hod. </w:t>
      </w:r>
      <w:r w:rsidRPr="005F6612">
        <w:rPr>
          <w:rStyle w:val="A0"/>
          <w:rFonts w:asciiTheme="minorHAnsi" w:hAnsiTheme="minorHAnsi"/>
          <w:sz w:val="24"/>
          <w:szCs w:val="24"/>
        </w:rPr>
        <w:t xml:space="preserve">prostor degustační akce pro veřejnost je </w:t>
      </w:r>
      <w:r w:rsidRPr="005F6612">
        <w:rPr>
          <w:rStyle w:val="A0"/>
          <w:rFonts w:asciiTheme="minorHAnsi" w:hAnsiTheme="minorHAnsi" w:cs="DaxPro-Medium"/>
          <w:sz w:val="24"/>
          <w:szCs w:val="24"/>
        </w:rPr>
        <w:t>kapacitně omezen na 25 vinařů</w:t>
      </w:r>
      <w:r w:rsidRPr="005F6612">
        <w:rPr>
          <w:rStyle w:val="A0"/>
          <w:rFonts w:asciiTheme="minorHAnsi" w:hAnsiTheme="minorHAnsi"/>
          <w:sz w:val="24"/>
          <w:szCs w:val="24"/>
        </w:rPr>
        <w:t xml:space="preserve">, proto prosíme o </w:t>
      </w:r>
      <w:r w:rsidRPr="005F6612">
        <w:rPr>
          <w:rStyle w:val="A0"/>
          <w:rFonts w:asciiTheme="minorHAnsi" w:hAnsiTheme="minorHAnsi" w:cs="DaxPro-Medium"/>
          <w:sz w:val="24"/>
          <w:szCs w:val="24"/>
        </w:rPr>
        <w:t xml:space="preserve">včasnou registraci </w:t>
      </w:r>
      <w:r w:rsidRPr="005F6612">
        <w:rPr>
          <w:rStyle w:val="A0"/>
          <w:rFonts w:asciiTheme="minorHAnsi" w:hAnsiTheme="minorHAnsi"/>
          <w:sz w:val="24"/>
          <w:szCs w:val="24"/>
        </w:rPr>
        <w:t>vyplněním přihlášek v příloze mailu</w:t>
      </w:r>
    </w:p>
    <w:p w:rsidR="006D49D8" w:rsidRPr="005F6612" w:rsidRDefault="006D49D8" w:rsidP="006D49D8">
      <w:pPr>
        <w:pStyle w:val="Pa2"/>
        <w:ind w:left="120"/>
        <w:jc w:val="both"/>
        <w:rPr>
          <w:rFonts w:asciiTheme="minorHAnsi" w:hAnsiTheme="minorHAnsi" w:cs="DaxPro-Regular"/>
          <w:color w:val="000000"/>
        </w:rPr>
      </w:pPr>
      <w:r w:rsidRPr="005F6612">
        <w:rPr>
          <w:rStyle w:val="A0"/>
          <w:rFonts w:asciiTheme="minorHAnsi" w:hAnsiTheme="minorHAnsi"/>
          <w:sz w:val="24"/>
          <w:szCs w:val="24"/>
        </w:rPr>
        <w:t xml:space="preserve">• přihlášení vinaři mohou vyjma degustací svá vína rovněž volně prodávat, či směnit láhev vína za degustační kupóny. Platí pravidlo, že 1 láhev vína nesmí být prodána za nižší hodnotu než 15 kupónů. V případě prodeje vína za degustační kupóny platí výše zmíněný princip refundace. </w:t>
      </w:r>
    </w:p>
    <w:p w:rsidR="006D49D8" w:rsidRPr="005F6612" w:rsidRDefault="006D49D8" w:rsidP="006D49D8">
      <w:pPr>
        <w:pStyle w:val="Pa2"/>
        <w:ind w:left="120"/>
        <w:jc w:val="both"/>
        <w:rPr>
          <w:rFonts w:asciiTheme="minorHAnsi" w:hAnsiTheme="minorHAnsi" w:cs="DaxPro-Regular"/>
          <w:color w:val="000000"/>
        </w:rPr>
      </w:pPr>
      <w:r w:rsidRPr="005F6612">
        <w:rPr>
          <w:rStyle w:val="A0"/>
          <w:rFonts w:asciiTheme="minorHAnsi" w:hAnsiTheme="minorHAnsi"/>
          <w:sz w:val="24"/>
          <w:szCs w:val="24"/>
        </w:rPr>
        <w:t>• přihlášené vinaře žádáme pouze o zabezpečení vlastní dopravy a o dodání prezentovaných vín (termín a místo bude upřesněno)</w:t>
      </w:r>
    </w:p>
    <w:p w:rsidR="006D49D8" w:rsidRPr="005F6612" w:rsidRDefault="006D49D8" w:rsidP="005F6612">
      <w:pPr>
        <w:pStyle w:val="Pa3"/>
        <w:spacing w:after="220"/>
        <w:ind w:left="120"/>
        <w:rPr>
          <w:rFonts w:asciiTheme="minorHAnsi" w:hAnsiTheme="minorHAnsi" w:cs="DaxPro-Medium"/>
          <w:color w:val="000000"/>
        </w:rPr>
      </w:pPr>
      <w:r w:rsidRPr="005F6612">
        <w:rPr>
          <w:rStyle w:val="A0"/>
          <w:rFonts w:asciiTheme="minorHAnsi" w:hAnsiTheme="minorHAnsi"/>
          <w:sz w:val="24"/>
          <w:szCs w:val="24"/>
        </w:rPr>
        <w:t>• parkovací místo v místě konání akce není zajištěno</w:t>
      </w:r>
      <w:r w:rsidR="005F6612" w:rsidRPr="005F6612">
        <w:rPr>
          <w:rStyle w:val="A0"/>
          <w:rFonts w:asciiTheme="minorHAnsi" w:hAnsiTheme="minorHAnsi"/>
          <w:sz w:val="24"/>
          <w:szCs w:val="24"/>
        </w:rPr>
        <w:br/>
      </w:r>
      <w:r w:rsidR="005F6612" w:rsidRPr="005F6612">
        <w:rPr>
          <w:rStyle w:val="A0"/>
          <w:rFonts w:asciiTheme="minorHAnsi" w:hAnsiTheme="minorHAnsi"/>
          <w:sz w:val="24"/>
          <w:szCs w:val="24"/>
        </w:rPr>
        <w:br/>
      </w:r>
      <w:r w:rsidRPr="005F6612">
        <w:rPr>
          <w:rStyle w:val="A0"/>
          <w:rFonts w:asciiTheme="minorHAnsi" w:hAnsiTheme="minorHAnsi" w:cs="DaxPro-Medium"/>
          <w:b/>
          <w:sz w:val="24"/>
          <w:szCs w:val="24"/>
        </w:rPr>
        <w:t>Stejně jako v loňském roce, i letos zajišťuje Vinařský fond přihlášeným vinařům:</w:t>
      </w:r>
    </w:p>
    <w:p w:rsidR="006D49D8" w:rsidRPr="005F6612" w:rsidRDefault="006D49D8" w:rsidP="006D49D8">
      <w:pPr>
        <w:pStyle w:val="Pa2"/>
        <w:ind w:left="120"/>
        <w:jc w:val="both"/>
        <w:rPr>
          <w:rFonts w:asciiTheme="minorHAnsi" w:hAnsiTheme="minorHAnsi" w:cs="DaxPro-Regular"/>
          <w:color w:val="000000"/>
        </w:rPr>
      </w:pPr>
      <w:r w:rsidRPr="005F6612">
        <w:rPr>
          <w:rStyle w:val="A0"/>
          <w:rFonts w:asciiTheme="minorHAnsi" w:hAnsiTheme="minorHAnsi"/>
          <w:sz w:val="24"/>
          <w:szCs w:val="24"/>
        </w:rPr>
        <w:t>• prezentační stoly</w:t>
      </w:r>
    </w:p>
    <w:p w:rsidR="006D49D8" w:rsidRPr="005F6612" w:rsidRDefault="006D49D8" w:rsidP="006D49D8">
      <w:pPr>
        <w:pStyle w:val="Pa2"/>
        <w:ind w:left="120"/>
        <w:jc w:val="both"/>
        <w:rPr>
          <w:rFonts w:asciiTheme="minorHAnsi" w:hAnsiTheme="minorHAnsi" w:cs="DaxPro-Regular"/>
          <w:color w:val="000000"/>
        </w:rPr>
      </w:pPr>
      <w:r w:rsidRPr="005F6612">
        <w:rPr>
          <w:rStyle w:val="A0"/>
          <w:rFonts w:asciiTheme="minorHAnsi" w:hAnsiTheme="minorHAnsi"/>
          <w:sz w:val="24"/>
          <w:szCs w:val="24"/>
        </w:rPr>
        <w:t>• označení stolů</w:t>
      </w:r>
    </w:p>
    <w:p w:rsidR="006D49D8" w:rsidRPr="005F6612" w:rsidRDefault="006D49D8" w:rsidP="006D49D8">
      <w:pPr>
        <w:pStyle w:val="Pa2"/>
        <w:ind w:left="120"/>
        <w:jc w:val="both"/>
        <w:rPr>
          <w:rFonts w:asciiTheme="minorHAnsi" w:hAnsiTheme="minorHAnsi" w:cs="DaxPro-Regular"/>
          <w:color w:val="000000"/>
        </w:rPr>
      </w:pPr>
      <w:r w:rsidRPr="005F6612">
        <w:rPr>
          <w:rStyle w:val="A0"/>
          <w:rFonts w:asciiTheme="minorHAnsi" w:hAnsiTheme="minorHAnsi"/>
          <w:sz w:val="24"/>
          <w:szCs w:val="24"/>
        </w:rPr>
        <w:t>• katalog prezentovaných vinařství a vín</w:t>
      </w:r>
    </w:p>
    <w:p w:rsidR="006D49D8" w:rsidRPr="005F6612" w:rsidRDefault="006D49D8" w:rsidP="006C658F">
      <w:pPr>
        <w:pStyle w:val="Pa2"/>
        <w:ind w:left="120"/>
        <w:jc w:val="both"/>
        <w:rPr>
          <w:rFonts w:asciiTheme="minorHAnsi" w:hAnsiTheme="minorHAnsi" w:cs="DaxPro-Regular"/>
          <w:color w:val="000000"/>
        </w:rPr>
      </w:pPr>
      <w:r w:rsidRPr="005F6612">
        <w:rPr>
          <w:rStyle w:val="A0"/>
          <w:rFonts w:asciiTheme="minorHAnsi" w:hAnsiTheme="minorHAnsi"/>
          <w:sz w:val="24"/>
          <w:szCs w:val="24"/>
        </w:rPr>
        <w:t>• odlévací nádoby, led pro chlazená vína</w:t>
      </w:r>
    </w:p>
    <w:p w:rsidR="006D49D8" w:rsidRPr="005F6612" w:rsidRDefault="006D49D8" w:rsidP="006D49D8">
      <w:pPr>
        <w:pStyle w:val="Pa2"/>
        <w:ind w:left="120"/>
        <w:jc w:val="both"/>
        <w:rPr>
          <w:rFonts w:asciiTheme="minorHAnsi" w:hAnsiTheme="minorHAnsi" w:cs="DaxPro-Regular"/>
          <w:color w:val="000000"/>
        </w:rPr>
      </w:pPr>
      <w:r w:rsidRPr="005F6612">
        <w:rPr>
          <w:rStyle w:val="A0"/>
          <w:rFonts w:asciiTheme="minorHAnsi" w:hAnsiTheme="minorHAnsi"/>
          <w:sz w:val="24"/>
          <w:szCs w:val="24"/>
        </w:rPr>
        <w:t>• neutralizační sousto (voda, pečivo)</w:t>
      </w:r>
    </w:p>
    <w:p w:rsidR="006D49D8" w:rsidRPr="005F6612" w:rsidRDefault="006D49D8" w:rsidP="006D49D8">
      <w:pPr>
        <w:pStyle w:val="Pa5"/>
        <w:spacing w:after="100"/>
        <w:ind w:left="120"/>
        <w:jc w:val="both"/>
        <w:rPr>
          <w:rFonts w:asciiTheme="minorHAnsi" w:hAnsiTheme="minorHAnsi" w:cs="DaxPro-Regular"/>
          <w:color w:val="000000"/>
        </w:rPr>
      </w:pPr>
      <w:r w:rsidRPr="005F6612">
        <w:rPr>
          <w:rStyle w:val="A0"/>
          <w:rFonts w:asciiTheme="minorHAnsi" w:hAnsiTheme="minorHAnsi"/>
          <w:sz w:val="24"/>
          <w:szCs w:val="24"/>
        </w:rPr>
        <w:t xml:space="preserve">• </w:t>
      </w:r>
      <w:proofErr w:type="spellStart"/>
      <w:r w:rsidRPr="005F6612">
        <w:rPr>
          <w:rStyle w:val="A0"/>
          <w:rFonts w:asciiTheme="minorHAnsi" w:hAnsiTheme="minorHAnsi"/>
          <w:sz w:val="24"/>
          <w:szCs w:val="24"/>
        </w:rPr>
        <w:t>vystřikovačky</w:t>
      </w:r>
      <w:proofErr w:type="spellEnd"/>
    </w:p>
    <w:p w:rsidR="006D49D8" w:rsidRPr="005F6612" w:rsidRDefault="006D49D8" w:rsidP="006D49D8">
      <w:pPr>
        <w:pStyle w:val="Pa1"/>
        <w:spacing w:after="220"/>
        <w:jc w:val="both"/>
        <w:rPr>
          <w:rFonts w:asciiTheme="minorHAnsi" w:hAnsiTheme="minorHAnsi" w:cs="DaxPro-Regular"/>
          <w:color w:val="000000"/>
        </w:rPr>
      </w:pPr>
      <w:r w:rsidRPr="005F6612">
        <w:rPr>
          <w:rStyle w:val="A0"/>
          <w:rFonts w:asciiTheme="minorHAnsi" w:hAnsiTheme="minorHAnsi"/>
          <w:sz w:val="24"/>
          <w:szCs w:val="24"/>
        </w:rPr>
        <w:t xml:space="preserve">Jak je již výše uvedeno, degustační prostor je opět kapacitně omezen pro 25 vinařů. </w:t>
      </w:r>
      <w:r w:rsidRPr="005F6612">
        <w:rPr>
          <w:rStyle w:val="A0"/>
          <w:rFonts w:asciiTheme="minorHAnsi" w:hAnsiTheme="minorHAnsi" w:cs="DaxPro-Medium"/>
          <w:sz w:val="24"/>
          <w:szCs w:val="24"/>
        </w:rPr>
        <w:t xml:space="preserve">Z tohoto důvodu se prosím zaregistrujte včas. </w:t>
      </w:r>
      <w:r w:rsidRPr="005F6612">
        <w:rPr>
          <w:rStyle w:val="A0"/>
          <w:rFonts w:asciiTheme="minorHAnsi" w:hAnsiTheme="minorHAnsi"/>
          <w:sz w:val="24"/>
          <w:szCs w:val="24"/>
        </w:rPr>
        <w:t xml:space="preserve">Registrujte se prostřednictvím přihlášek, které naleznete v příloze tohoto mailu – </w:t>
      </w:r>
      <w:r w:rsidR="005F6612" w:rsidRPr="005F6612">
        <w:rPr>
          <w:rStyle w:val="A0"/>
          <w:rFonts w:asciiTheme="minorHAnsi" w:hAnsiTheme="minorHAnsi"/>
          <w:sz w:val="24"/>
          <w:szCs w:val="24"/>
        </w:rPr>
        <w:t>Svátek růžových vín.</w:t>
      </w:r>
      <w:r w:rsidRPr="005F6612">
        <w:rPr>
          <w:rStyle w:val="A0"/>
          <w:rFonts w:asciiTheme="minorHAnsi" w:hAnsiTheme="minorHAnsi"/>
          <w:sz w:val="24"/>
          <w:szCs w:val="24"/>
        </w:rPr>
        <w:t xml:space="preserve"> </w:t>
      </w:r>
    </w:p>
    <w:p w:rsidR="006D49D8" w:rsidRPr="005F6612" w:rsidRDefault="006D49D8" w:rsidP="006D49D8">
      <w:pPr>
        <w:pStyle w:val="Pa7"/>
        <w:jc w:val="both"/>
        <w:rPr>
          <w:rFonts w:asciiTheme="minorHAnsi" w:hAnsiTheme="minorHAnsi" w:cs="DaxPro-Medium"/>
          <w:color w:val="000000"/>
        </w:rPr>
      </w:pPr>
      <w:r w:rsidRPr="005F6612">
        <w:rPr>
          <w:rStyle w:val="A0"/>
          <w:rFonts w:asciiTheme="minorHAnsi" w:hAnsiTheme="minorHAnsi" w:cs="DaxPro-Medium"/>
          <w:b/>
          <w:sz w:val="24"/>
          <w:szCs w:val="24"/>
        </w:rPr>
        <w:t>Vyplněnou přihlášku zašlete</w:t>
      </w:r>
      <w:r w:rsidRPr="005F6612">
        <w:rPr>
          <w:rStyle w:val="A0"/>
          <w:rFonts w:asciiTheme="minorHAnsi" w:hAnsiTheme="minorHAnsi" w:cs="DaxPro-Medium"/>
          <w:sz w:val="24"/>
          <w:szCs w:val="24"/>
        </w:rPr>
        <w:t xml:space="preserve"> </w:t>
      </w:r>
      <w:r w:rsidR="00317014" w:rsidRPr="00317014">
        <w:rPr>
          <w:rStyle w:val="A0"/>
          <w:rFonts w:asciiTheme="minorHAnsi" w:hAnsiTheme="minorHAnsi" w:cs="DaxPro-Medium"/>
          <w:b/>
          <w:sz w:val="24"/>
          <w:szCs w:val="24"/>
        </w:rPr>
        <w:t xml:space="preserve">obratem, nejpozději do </w:t>
      </w:r>
      <w:proofErr w:type="gramStart"/>
      <w:r w:rsidR="00317014" w:rsidRPr="00317014">
        <w:rPr>
          <w:rStyle w:val="A0"/>
          <w:rFonts w:asciiTheme="minorHAnsi" w:hAnsiTheme="minorHAnsi" w:cs="DaxPro-Medium"/>
          <w:b/>
          <w:sz w:val="24"/>
          <w:szCs w:val="24"/>
        </w:rPr>
        <w:t>10.4.2012</w:t>
      </w:r>
      <w:proofErr w:type="gramEnd"/>
      <w:r w:rsidR="00317014">
        <w:rPr>
          <w:rStyle w:val="A0"/>
          <w:rFonts w:asciiTheme="minorHAnsi" w:hAnsiTheme="minorHAnsi" w:cs="DaxPro-Medium"/>
          <w:sz w:val="24"/>
          <w:szCs w:val="24"/>
        </w:rPr>
        <w:t xml:space="preserve"> </w:t>
      </w:r>
      <w:r w:rsidRPr="005F6612">
        <w:rPr>
          <w:rStyle w:val="A0"/>
          <w:rFonts w:asciiTheme="minorHAnsi" w:hAnsiTheme="minorHAnsi" w:cs="DaxPro-Medium"/>
          <w:sz w:val="24"/>
          <w:szCs w:val="24"/>
        </w:rPr>
        <w:t xml:space="preserve">poštou na adresu: </w:t>
      </w:r>
    </w:p>
    <w:p w:rsidR="006D49D8" w:rsidRDefault="006C658F" w:rsidP="006D49D8">
      <w:pPr>
        <w:pStyle w:val="Pa7"/>
        <w:jc w:val="both"/>
        <w:rPr>
          <w:rStyle w:val="A0"/>
          <w:rFonts w:asciiTheme="minorHAnsi" w:hAnsiTheme="minorHAnsi" w:cs="DaxPro-Medium"/>
          <w:sz w:val="24"/>
          <w:szCs w:val="24"/>
        </w:rPr>
      </w:pPr>
      <w:r>
        <w:rPr>
          <w:rStyle w:val="A0"/>
          <w:rFonts w:asciiTheme="minorHAnsi" w:hAnsiTheme="minorHAnsi" w:cs="DaxPro-Medium"/>
          <w:sz w:val="24"/>
          <w:szCs w:val="24"/>
        </w:rPr>
        <w:t>Vinařský fond ČR,</w:t>
      </w:r>
      <w:r w:rsidR="006D49D8" w:rsidRPr="005F6612">
        <w:rPr>
          <w:rStyle w:val="A0"/>
          <w:rFonts w:asciiTheme="minorHAnsi" w:hAnsiTheme="minorHAnsi" w:cs="DaxPro-Medium"/>
          <w:sz w:val="24"/>
          <w:szCs w:val="24"/>
        </w:rPr>
        <w:t xml:space="preserve"> </w:t>
      </w:r>
      <w:proofErr w:type="spellStart"/>
      <w:r w:rsidR="006D49D8" w:rsidRPr="005F6612">
        <w:rPr>
          <w:rStyle w:val="A0"/>
          <w:rFonts w:asciiTheme="minorHAnsi" w:hAnsiTheme="minorHAnsi" w:cs="DaxPro-Medium"/>
          <w:sz w:val="24"/>
          <w:szCs w:val="24"/>
        </w:rPr>
        <w:t>Žerotínovo</w:t>
      </w:r>
      <w:proofErr w:type="spellEnd"/>
      <w:r w:rsidR="006D49D8" w:rsidRPr="005F6612">
        <w:rPr>
          <w:rStyle w:val="A0"/>
          <w:rFonts w:asciiTheme="minorHAnsi" w:hAnsiTheme="minorHAnsi" w:cs="DaxPro-Medium"/>
          <w:sz w:val="24"/>
          <w:szCs w:val="24"/>
        </w:rPr>
        <w:t xml:space="preserve"> nám. 3/5, 601 82 Brno nebo elektronicky na mail: </w:t>
      </w:r>
      <w:hyperlink r:id="rId6" w:history="1">
        <w:r w:rsidR="005F6612" w:rsidRPr="00F7527B">
          <w:rPr>
            <w:rStyle w:val="Hypertextovodkaz"/>
            <w:rFonts w:asciiTheme="minorHAnsi" w:hAnsiTheme="minorHAnsi" w:cs="DaxPro-Medium"/>
          </w:rPr>
          <w:t>kastanova@vinarskyfond.cz</w:t>
        </w:r>
      </w:hyperlink>
    </w:p>
    <w:p w:rsidR="005F6612" w:rsidRPr="005F6612" w:rsidRDefault="005F6612" w:rsidP="005F6612">
      <w:pPr>
        <w:pStyle w:val="Default"/>
      </w:pPr>
    </w:p>
    <w:p w:rsidR="006D49D8" w:rsidRPr="005F6612" w:rsidRDefault="006D49D8" w:rsidP="006D49D8">
      <w:pPr>
        <w:pStyle w:val="Pa0"/>
        <w:pageBreakBefore/>
        <w:spacing w:after="100"/>
        <w:jc w:val="both"/>
        <w:rPr>
          <w:rFonts w:asciiTheme="minorHAnsi" w:hAnsiTheme="minorHAnsi" w:cs="DaxPro-Medium"/>
          <w:color w:val="000000"/>
        </w:rPr>
      </w:pPr>
      <w:r w:rsidRPr="005F6612">
        <w:rPr>
          <w:rStyle w:val="A0"/>
          <w:rFonts w:asciiTheme="minorHAnsi" w:hAnsiTheme="minorHAnsi" w:cs="DaxPro-Medium"/>
          <w:sz w:val="24"/>
          <w:szCs w:val="24"/>
        </w:rPr>
        <w:lastRenderedPageBreak/>
        <w:t xml:space="preserve">Vedle pozvání na Svátek růžových vín, bychom Vás dále rádi seznámili s průběhem příprav kampaně </w:t>
      </w:r>
      <w:r w:rsidRPr="005F6612">
        <w:rPr>
          <w:rStyle w:val="A0"/>
          <w:rFonts w:asciiTheme="minorHAnsi" w:hAnsiTheme="minorHAnsi" w:cs="DaxPro-Medium"/>
          <w:b/>
          <w:sz w:val="24"/>
          <w:szCs w:val="24"/>
        </w:rPr>
        <w:t>RŮŽOVÉ CZ</w:t>
      </w:r>
      <w:r w:rsidRPr="005F6612">
        <w:rPr>
          <w:rStyle w:val="A0"/>
          <w:rFonts w:asciiTheme="minorHAnsi" w:hAnsiTheme="minorHAnsi" w:cs="DaxPro-Medium"/>
          <w:sz w:val="24"/>
          <w:szCs w:val="24"/>
        </w:rPr>
        <w:t>. Vinařský fond pokračuje v další komunikaci této značky cestou marketingových aktivit propagujících tuzemská růžová vína směrem k laické i odborné veřejno</w:t>
      </w:r>
      <w:r w:rsidR="006C658F">
        <w:rPr>
          <w:rStyle w:val="A0"/>
          <w:rFonts w:asciiTheme="minorHAnsi" w:hAnsiTheme="minorHAnsi" w:cs="DaxPro-Medium"/>
          <w:sz w:val="24"/>
          <w:szCs w:val="24"/>
        </w:rPr>
        <w:t>sti, a to jak s využitím médií,</w:t>
      </w:r>
      <w:r w:rsidRPr="005F6612">
        <w:rPr>
          <w:rStyle w:val="A0"/>
          <w:rFonts w:asciiTheme="minorHAnsi" w:hAnsiTheme="minorHAnsi" w:cs="DaxPro-Medium"/>
          <w:sz w:val="24"/>
          <w:szCs w:val="24"/>
        </w:rPr>
        <w:t xml:space="preserve"> tak i aktivitami konanými na podporu vinařských akcí či aktivitami konanými v obchodních řetězcích. </w:t>
      </w:r>
    </w:p>
    <w:p w:rsidR="006D49D8" w:rsidRPr="005F6612" w:rsidRDefault="006D49D8" w:rsidP="006D49D8">
      <w:pPr>
        <w:pStyle w:val="Pa0"/>
        <w:spacing w:after="100"/>
        <w:jc w:val="both"/>
        <w:rPr>
          <w:rFonts w:asciiTheme="minorHAnsi" w:hAnsiTheme="minorHAnsi" w:cs="DaxPro-Medium"/>
          <w:color w:val="000000"/>
        </w:rPr>
      </w:pPr>
      <w:r w:rsidRPr="005F6612">
        <w:rPr>
          <w:rStyle w:val="A0"/>
          <w:rFonts w:asciiTheme="minorHAnsi" w:hAnsiTheme="minorHAnsi" w:cs="DaxPro-Medium"/>
          <w:sz w:val="24"/>
          <w:szCs w:val="24"/>
        </w:rPr>
        <w:t>Plánovaná mediální komunikační podpora Růžové.</w:t>
      </w:r>
      <w:proofErr w:type="spellStart"/>
      <w:r w:rsidRPr="005F6612">
        <w:rPr>
          <w:rStyle w:val="A0"/>
          <w:rFonts w:asciiTheme="minorHAnsi" w:hAnsiTheme="minorHAnsi" w:cs="DaxPro-Medium"/>
          <w:sz w:val="24"/>
          <w:szCs w:val="24"/>
        </w:rPr>
        <w:t>cz</w:t>
      </w:r>
      <w:proofErr w:type="spellEnd"/>
      <w:r w:rsidRPr="005F6612">
        <w:rPr>
          <w:rStyle w:val="A0"/>
          <w:rFonts w:asciiTheme="minorHAnsi" w:hAnsiTheme="minorHAnsi" w:cs="DaxPro-Medium"/>
          <w:sz w:val="24"/>
          <w:szCs w:val="24"/>
        </w:rPr>
        <w:t>:</w:t>
      </w:r>
    </w:p>
    <w:p w:rsidR="006D49D8" w:rsidRPr="005F6612" w:rsidRDefault="006D49D8" w:rsidP="006D49D8">
      <w:pPr>
        <w:pStyle w:val="Pa2"/>
        <w:ind w:left="120"/>
        <w:jc w:val="both"/>
        <w:rPr>
          <w:rFonts w:asciiTheme="minorHAnsi" w:hAnsiTheme="minorHAnsi" w:cs="DaxPro-Regular"/>
          <w:color w:val="000000"/>
        </w:rPr>
      </w:pPr>
      <w:r w:rsidRPr="005F6612">
        <w:rPr>
          <w:rStyle w:val="A0"/>
          <w:rFonts w:asciiTheme="minorHAnsi" w:hAnsiTheme="minorHAnsi"/>
          <w:sz w:val="24"/>
          <w:szCs w:val="24"/>
        </w:rPr>
        <w:t>• billboardy</w:t>
      </w:r>
    </w:p>
    <w:p w:rsidR="006D49D8" w:rsidRPr="005F6612" w:rsidRDefault="006D49D8" w:rsidP="006D49D8">
      <w:pPr>
        <w:pStyle w:val="Pa2"/>
        <w:ind w:left="120"/>
        <w:jc w:val="both"/>
        <w:rPr>
          <w:rFonts w:asciiTheme="minorHAnsi" w:hAnsiTheme="minorHAnsi" w:cs="DaxPro-Regular"/>
          <w:color w:val="000000"/>
        </w:rPr>
      </w:pPr>
      <w:r w:rsidRPr="005F6612">
        <w:rPr>
          <w:rStyle w:val="A0"/>
          <w:rFonts w:asciiTheme="minorHAnsi" w:hAnsiTheme="minorHAnsi"/>
          <w:sz w:val="24"/>
          <w:szCs w:val="24"/>
        </w:rPr>
        <w:t>• tisková inzerce pro obchodníky</w:t>
      </w:r>
    </w:p>
    <w:p w:rsidR="006D49D8" w:rsidRPr="005F6612" w:rsidRDefault="006D49D8" w:rsidP="006D49D8">
      <w:pPr>
        <w:pStyle w:val="Pa2"/>
        <w:ind w:left="120"/>
        <w:jc w:val="both"/>
        <w:rPr>
          <w:rFonts w:asciiTheme="minorHAnsi" w:hAnsiTheme="minorHAnsi" w:cs="DaxPro-Regular"/>
          <w:color w:val="000000"/>
        </w:rPr>
      </w:pPr>
      <w:r w:rsidRPr="005F6612">
        <w:rPr>
          <w:rStyle w:val="A0"/>
          <w:rFonts w:asciiTheme="minorHAnsi" w:hAnsiTheme="minorHAnsi"/>
          <w:sz w:val="24"/>
          <w:szCs w:val="24"/>
        </w:rPr>
        <w:t>• spotřebitelská tisková inzerce</w:t>
      </w:r>
    </w:p>
    <w:p w:rsidR="006D49D8" w:rsidRPr="005F6612" w:rsidRDefault="006D49D8" w:rsidP="006D49D8">
      <w:pPr>
        <w:pStyle w:val="Pa3"/>
        <w:spacing w:after="220"/>
        <w:ind w:left="120"/>
        <w:jc w:val="both"/>
        <w:rPr>
          <w:rFonts w:asciiTheme="minorHAnsi" w:hAnsiTheme="minorHAnsi" w:cs="DaxPro-Regular"/>
          <w:color w:val="000000"/>
        </w:rPr>
      </w:pPr>
      <w:r w:rsidRPr="005F6612">
        <w:rPr>
          <w:rStyle w:val="A0"/>
          <w:rFonts w:asciiTheme="minorHAnsi" w:hAnsiTheme="minorHAnsi"/>
          <w:sz w:val="24"/>
          <w:szCs w:val="24"/>
        </w:rPr>
        <w:t>• aktualizace webu ruzove.cz</w:t>
      </w:r>
    </w:p>
    <w:p w:rsidR="006D49D8" w:rsidRPr="005F6612" w:rsidRDefault="006D49D8" w:rsidP="006D49D8">
      <w:pPr>
        <w:pStyle w:val="Pa0"/>
        <w:spacing w:after="100"/>
        <w:jc w:val="both"/>
        <w:rPr>
          <w:rFonts w:asciiTheme="minorHAnsi" w:hAnsiTheme="minorHAnsi" w:cs="DaxPro-Medium"/>
          <w:color w:val="000000"/>
        </w:rPr>
      </w:pPr>
      <w:r w:rsidRPr="005F6612">
        <w:rPr>
          <w:rStyle w:val="A0"/>
          <w:rFonts w:asciiTheme="minorHAnsi" w:hAnsiTheme="minorHAnsi" w:cs="DaxPro-Medium"/>
          <w:sz w:val="24"/>
          <w:szCs w:val="24"/>
        </w:rPr>
        <w:t>Připravované kolekce POS materiálu:</w:t>
      </w:r>
    </w:p>
    <w:p w:rsidR="006D49D8" w:rsidRPr="005F6612" w:rsidRDefault="006D49D8" w:rsidP="006D49D8">
      <w:pPr>
        <w:pStyle w:val="Pa2"/>
        <w:ind w:left="120"/>
        <w:jc w:val="both"/>
        <w:rPr>
          <w:rFonts w:asciiTheme="minorHAnsi" w:hAnsiTheme="minorHAnsi" w:cs="DaxPro-Regular"/>
          <w:color w:val="000000"/>
        </w:rPr>
      </w:pPr>
      <w:r w:rsidRPr="005F6612">
        <w:rPr>
          <w:rStyle w:val="A0"/>
          <w:rFonts w:asciiTheme="minorHAnsi" w:hAnsiTheme="minorHAnsi"/>
          <w:sz w:val="24"/>
          <w:szCs w:val="24"/>
        </w:rPr>
        <w:t>• plakáty</w:t>
      </w:r>
    </w:p>
    <w:p w:rsidR="006D49D8" w:rsidRPr="005F6612" w:rsidRDefault="006D49D8" w:rsidP="006D49D8">
      <w:pPr>
        <w:pStyle w:val="Pa2"/>
        <w:ind w:left="120"/>
        <w:jc w:val="both"/>
        <w:rPr>
          <w:rFonts w:asciiTheme="minorHAnsi" w:hAnsiTheme="minorHAnsi" w:cs="DaxPro-Regular"/>
          <w:color w:val="000000"/>
        </w:rPr>
      </w:pPr>
      <w:r w:rsidRPr="005F6612">
        <w:rPr>
          <w:rStyle w:val="A0"/>
          <w:rFonts w:asciiTheme="minorHAnsi" w:hAnsiTheme="minorHAnsi"/>
          <w:sz w:val="24"/>
          <w:szCs w:val="24"/>
        </w:rPr>
        <w:t>• stojánky</w:t>
      </w:r>
    </w:p>
    <w:p w:rsidR="006D49D8" w:rsidRPr="005F6612" w:rsidRDefault="006D49D8" w:rsidP="006D49D8">
      <w:pPr>
        <w:pStyle w:val="Pa2"/>
        <w:ind w:left="120"/>
        <w:jc w:val="both"/>
        <w:rPr>
          <w:rFonts w:asciiTheme="minorHAnsi" w:hAnsiTheme="minorHAnsi" w:cs="DaxPro-Regular"/>
          <w:color w:val="000000"/>
        </w:rPr>
      </w:pPr>
      <w:r w:rsidRPr="005F6612">
        <w:rPr>
          <w:rStyle w:val="A0"/>
          <w:rFonts w:asciiTheme="minorHAnsi" w:hAnsiTheme="minorHAnsi"/>
          <w:sz w:val="24"/>
          <w:szCs w:val="24"/>
        </w:rPr>
        <w:t>• samolepky</w:t>
      </w:r>
    </w:p>
    <w:p w:rsidR="005F6612" w:rsidRPr="005F6612" w:rsidRDefault="006D49D8" w:rsidP="005F6612">
      <w:pPr>
        <w:pStyle w:val="Pa5"/>
        <w:spacing w:after="100"/>
        <w:ind w:left="120"/>
        <w:jc w:val="both"/>
        <w:rPr>
          <w:rFonts w:asciiTheme="minorHAnsi" w:hAnsiTheme="minorHAnsi" w:cs="DaxPro-Regular"/>
          <w:color w:val="000000"/>
        </w:rPr>
      </w:pPr>
      <w:r w:rsidRPr="005F6612">
        <w:rPr>
          <w:rStyle w:val="A0"/>
          <w:rFonts w:asciiTheme="minorHAnsi" w:hAnsiTheme="minorHAnsi"/>
          <w:sz w:val="24"/>
          <w:szCs w:val="24"/>
        </w:rPr>
        <w:t>• záklopky</w:t>
      </w:r>
    </w:p>
    <w:p w:rsidR="006D49D8" w:rsidRPr="005F6612" w:rsidRDefault="006D49D8" w:rsidP="006D49D8">
      <w:pPr>
        <w:pStyle w:val="Default"/>
        <w:rPr>
          <w:rFonts w:asciiTheme="minorHAnsi" w:hAnsiTheme="minorHAnsi"/>
        </w:rPr>
      </w:pPr>
    </w:p>
    <w:p w:rsidR="006D49D8" w:rsidRPr="005F6612" w:rsidRDefault="006D49D8" w:rsidP="006D49D8">
      <w:pPr>
        <w:pStyle w:val="Pa0"/>
        <w:spacing w:after="100"/>
        <w:jc w:val="both"/>
        <w:rPr>
          <w:rFonts w:asciiTheme="minorHAnsi" w:hAnsiTheme="minorHAnsi" w:cs="DaxPro-Medium"/>
          <w:b/>
          <w:color w:val="000000"/>
        </w:rPr>
      </w:pPr>
      <w:r w:rsidRPr="005F6612">
        <w:rPr>
          <w:rStyle w:val="A0"/>
          <w:rFonts w:asciiTheme="minorHAnsi" w:hAnsiTheme="minorHAnsi" w:cs="DaxPro-Medium"/>
          <w:b/>
          <w:sz w:val="24"/>
          <w:szCs w:val="24"/>
        </w:rPr>
        <w:t>Vše k vyzvednutí v NVC od 15. 4. 201</w:t>
      </w:r>
      <w:r w:rsidR="005F6612" w:rsidRPr="005F6612">
        <w:rPr>
          <w:rStyle w:val="A0"/>
          <w:rFonts w:asciiTheme="minorHAnsi" w:hAnsiTheme="minorHAnsi" w:cs="DaxPro-Medium"/>
          <w:b/>
          <w:sz w:val="24"/>
          <w:szCs w:val="24"/>
        </w:rPr>
        <w:t>2</w:t>
      </w:r>
    </w:p>
    <w:p w:rsidR="006D49D8" w:rsidRPr="005F6612" w:rsidRDefault="005F6612" w:rsidP="006D49D8">
      <w:pPr>
        <w:pStyle w:val="Pa7"/>
        <w:jc w:val="both"/>
        <w:rPr>
          <w:rFonts w:asciiTheme="minorHAnsi" w:hAnsiTheme="minorHAnsi" w:cs="DaxPro-Regular"/>
          <w:color w:val="000000"/>
        </w:rPr>
      </w:pPr>
      <w:r>
        <w:rPr>
          <w:rStyle w:val="A0"/>
          <w:rFonts w:asciiTheme="minorHAnsi" w:hAnsiTheme="minorHAnsi"/>
          <w:sz w:val="24"/>
          <w:szCs w:val="24"/>
        </w:rPr>
        <w:t xml:space="preserve">Podrobnější informace pro vinaře budou posléze poslány. </w:t>
      </w:r>
      <w:r w:rsidR="006D49D8" w:rsidRPr="005F6612">
        <w:rPr>
          <w:rStyle w:val="A0"/>
          <w:rFonts w:asciiTheme="minorHAnsi" w:hAnsiTheme="minorHAnsi"/>
          <w:sz w:val="24"/>
          <w:szCs w:val="24"/>
        </w:rPr>
        <w:t xml:space="preserve">Pokud máte jakékoliv dotazy ohledně organizačního zajištění výše uvedené akce, kontaktujte zástupce naší komunikační agentury </w:t>
      </w:r>
      <w:proofErr w:type="spellStart"/>
      <w:r w:rsidR="006D49D8" w:rsidRPr="005F6612">
        <w:rPr>
          <w:rStyle w:val="A0"/>
          <w:rFonts w:asciiTheme="minorHAnsi" w:hAnsiTheme="minorHAnsi"/>
          <w:b/>
          <w:sz w:val="24"/>
          <w:szCs w:val="24"/>
        </w:rPr>
        <w:t>Comtech</w:t>
      </w:r>
      <w:proofErr w:type="spellEnd"/>
      <w:r w:rsidR="006D49D8" w:rsidRPr="005F6612">
        <w:rPr>
          <w:rStyle w:val="A0"/>
          <w:rFonts w:asciiTheme="minorHAnsi" w:hAnsiTheme="minorHAnsi"/>
          <w:b/>
          <w:sz w:val="24"/>
          <w:szCs w:val="24"/>
        </w:rPr>
        <w:t>,</w:t>
      </w:r>
      <w:r w:rsidRPr="005F6612">
        <w:rPr>
          <w:rStyle w:val="A0"/>
          <w:rFonts w:asciiTheme="minorHAnsi" w:hAnsiTheme="minorHAnsi"/>
          <w:b/>
          <w:sz w:val="24"/>
          <w:szCs w:val="24"/>
        </w:rPr>
        <w:t xml:space="preserve"> s.r.o.</w:t>
      </w:r>
      <w:r w:rsidR="006D49D8" w:rsidRPr="005F6612">
        <w:rPr>
          <w:rStyle w:val="A0"/>
          <w:rFonts w:asciiTheme="minorHAnsi" w:hAnsiTheme="minorHAnsi"/>
          <w:sz w:val="24"/>
          <w:szCs w:val="24"/>
        </w:rPr>
        <w:t xml:space="preserve"> pana </w:t>
      </w:r>
      <w:r w:rsidR="006D49D8" w:rsidRPr="005F6612">
        <w:rPr>
          <w:rStyle w:val="A0"/>
          <w:rFonts w:asciiTheme="minorHAnsi" w:hAnsiTheme="minorHAnsi"/>
          <w:b/>
          <w:sz w:val="24"/>
          <w:szCs w:val="24"/>
        </w:rPr>
        <w:t>Michala Sedláčka</w:t>
      </w:r>
      <w:r w:rsidR="006D49D8" w:rsidRPr="005F6612">
        <w:rPr>
          <w:rStyle w:val="A0"/>
          <w:rFonts w:asciiTheme="minorHAnsi" w:hAnsiTheme="minorHAnsi"/>
          <w:sz w:val="24"/>
          <w:szCs w:val="24"/>
        </w:rPr>
        <w:t xml:space="preserve">: </w:t>
      </w:r>
      <w:proofErr w:type="spellStart"/>
      <w:r w:rsidR="006D49D8" w:rsidRPr="005F6612">
        <w:rPr>
          <w:rStyle w:val="A0"/>
          <w:rFonts w:asciiTheme="minorHAnsi" w:hAnsiTheme="minorHAnsi"/>
          <w:sz w:val="24"/>
          <w:szCs w:val="24"/>
        </w:rPr>
        <w:t>sedlacek</w:t>
      </w:r>
      <w:proofErr w:type="spellEnd"/>
      <w:r w:rsidR="006D49D8" w:rsidRPr="005F6612">
        <w:rPr>
          <w:rStyle w:val="A0"/>
          <w:rFonts w:asciiTheme="minorHAnsi" w:hAnsiTheme="minorHAnsi"/>
          <w:sz w:val="24"/>
          <w:szCs w:val="24"/>
        </w:rPr>
        <w:t>@icomtech.cz, případně na tel.: 776 072</w:t>
      </w:r>
      <w:r w:rsidRPr="005F6612">
        <w:rPr>
          <w:rStyle w:val="A0"/>
          <w:rFonts w:asciiTheme="minorHAnsi" w:hAnsiTheme="minorHAnsi"/>
          <w:sz w:val="24"/>
          <w:szCs w:val="24"/>
        </w:rPr>
        <w:t> </w:t>
      </w:r>
      <w:r w:rsidR="006D49D8" w:rsidRPr="005F6612">
        <w:rPr>
          <w:rStyle w:val="A0"/>
          <w:rFonts w:asciiTheme="minorHAnsi" w:hAnsiTheme="minorHAnsi"/>
          <w:sz w:val="24"/>
          <w:szCs w:val="24"/>
        </w:rPr>
        <w:t>322</w:t>
      </w:r>
      <w:r w:rsidRPr="005F6612">
        <w:rPr>
          <w:rStyle w:val="A0"/>
          <w:rFonts w:asciiTheme="minorHAnsi" w:hAnsiTheme="minorHAnsi"/>
          <w:sz w:val="24"/>
          <w:szCs w:val="24"/>
        </w:rPr>
        <w:t xml:space="preserve">, za </w:t>
      </w:r>
      <w:r w:rsidRPr="005F6612">
        <w:rPr>
          <w:rStyle w:val="A0"/>
          <w:rFonts w:asciiTheme="minorHAnsi" w:hAnsiTheme="minorHAnsi"/>
          <w:b/>
          <w:sz w:val="24"/>
          <w:szCs w:val="24"/>
        </w:rPr>
        <w:t>Vinařský fond</w:t>
      </w:r>
      <w:r w:rsidRPr="005F6612">
        <w:rPr>
          <w:rStyle w:val="A0"/>
          <w:rFonts w:asciiTheme="minorHAnsi" w:hAnsiTheme="minorHAnsi"/>
          <w:sz w:val="24"/>
          <w:szCs w:val="24"/>
        </w:rPr>
        <w:t xml:space="preserve"> kontaktujte stejně jako v loňském roce paní </w:t>
      </w:r>
      <w:r w:rsidRPr="005F6612">
        <w:rPr>
          <w:rStyle w:val="A0"/>
          <w:rFonts w:asciiTheme="minorHAnsi" w:hAnsiTheme="minorHAnsi"/>
          <w:b/>
          <w:sz w:val="24"/>
          <w:szCs w:val="24"/>
        </w:rPr>
        <w:t xml:space="preserve">Ing. </w:t>
      </w:r>
      <w:proofErr w:type="spellStart"/>
      <w:r w:rsidRPr="005F6612">
        <w:rPr>
          <w:rStyle w:val="A0"/>
          <w:rFonts w:asciiTheme="minorHAnsi" w:hAnsiTheme="minorHAnsi"/>
          <w:b/>
          <w:sz w:val="24"/>
          <w:szCs w:val="24"/>
        </w:rPr>
        <w:t>Nikol</w:t>
      </w:r>
      <w:proofErr w:type="spellEnd"/>
      <w:r w:rsidRPr="005F6612">
        <w:rPr>
          <w:rStyle w:val="A0"/>
          <w:rFonts w:asciiTheme="minorHAnsi" w:hAnsiTheme="minorHAnsi"/>
          <w:b/>
          <w:sz w:val="24"/>
          <w:szCs w:val="24"/>
        </w:rPr>
        <w:t xml:space="preserve"> Kaštanovou (Ročkovou)</w:t>
      </w:r>
      <w:r w:rsidRPr="005F6612">
        <w:rPr>
          <w:rStyle w:val="A0"/>
          <w:rFonts w:asciiTheme="minorHAnsi" w:hAnsiTheme="minorHAnsi"/>
          <w:sz w:val="24"/>
          <w:szCs w:val="24"/>
        </w:rPr>
        <w:t xml:space="preserve">, </w:t>
      </w:r>
      <w:proofErr w:type="spellStart"/>
      <w:r w:rsidRPr="005F6612">
        <w:rPr>
          <w:rStyle w:val="A0"/>
          <w:rFonts w:asciiTheme="minorHAnsi" w:hAnsiTheme="minorHAnsi"/>
          <w:sz w:val="24"/>
          <w:szCs w:val="24"/>
        </w:rPr>
        <w:t>kastanova</w:t>
      </w:r>
      <w:proofErr w:type="spellEnd"/>
      <w:r w:rsidRPr="005F6612">
        <w:rPr>
          <w:rStyle w:val="A0"/>
          <w:rFonts w:asciiTheme="minorHAnsi" w:hAnsiTheme="minorHAnsi"/>
          <w:sz w:val="24"/>
          <w:szCs w:val="24"/>
        </w:rPr>
        <w:t>@</w:t>
      </w:r>
      <w:r>
        <w:rPr>
          <w:rStyle w:val="A0"/>
          <w:rFonts w:asciiTheme="minorHAnsi" w:hAnsiTheme="minorHAnsi"/>
          <w:sz w:val="24"/>
          <w:szCs w:val="24"/>
        </w:rPr>
        <w:t>v</w:t>
      </w:r>
      <w:r w:rsidRPr="005F6612">
        <w:rPr>
          <w:rStyle w:val="A0"/>
          <w:rFonts w:asciiTheme="minorHAnsi" w:hAnsiTheme="minorHAnsi"/>
          <w:sz w:val="24"/>
          <w:szCs w:val="24"/>
        </w:rPr>
        <w:t>inarskyfond.cz, 777 092 865.</w:t>
      </w:r>
    </w:p>
    <w:p w:rsidR="000A5347" w:rsidRPr="005F6612" w:rsidRDefault="000A5347" w:rsidP="006D49D8">
      <w:pPr>
        <w:rPr>
          <w:sz w:val="24"/>
          <w:szCs w:val="24"/>
        </w:rPr>
      </w:pPr>
    </w:p>
    <w:sectPr w:rsidR="000A5347" w:rsidRPr="005F6612" w:rsidSect="000A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612" w:rsidRDefault="005F6612" w:rsidP="005F6612">
      <w:pPr>
        <w:spacing w:after="0" w:line="240" w:lineRule="auto"/>
      </w:pPr>
      <w:r>
        <w:separator/>
      </w:r>
    </w:p>
  </w:endnote>
  <w:endnote w:type="continuationSeparator" w:id="0">
    <w:p w:rsidR="005F6612" w:rsidRDefault="005F6612" w:rsidP="005F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DaxPro-Regular">
    <w:altName w:val="DaxPro-Regular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axPro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612" w:rsidRDefault="005F6612" w:rsidP="005F6612">
      <w:pPr>
        <w:spacing w:after="0" w:line="240" w:lineRule="auto"/>
      </w:pPr>
      <w:r>
        <w:separator/>
      </w:r>
    </w:p>
  </w:footnote>
  <w:footnote w:type="continuationSeparator" w:id="0">
    <w:p w:rsidR="005F6612" w:rsidRDefault="005F6612" w:rsidP="005F66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9D8"/>
    <w:rsid w:val="00080846"/>
    <w:rsid w:val="000A5347"/>
    <w:rsid w:val="00317014"/>
    <w:rsid w:val="00541BAB"/>
    <w:rsid w:val="005F6612"/>
    <w:rsid w:val="0065761A"/>
    <w:rsid w:val="006C658F"/>
    <w:rsid w:val="006D4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3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D49D8"/>
    <w:pPr>
      <w:autoSpaceDE w:val="0"/>
      <w:autoSpaceDN w:val="0"/>
      <w:adjustRightInd w:val="0"/>
      <w:spacing w:after="0" w:line="240" w:lineRule="auto"/>
    </w:pPr>
    <w:rPr>
      <w:rFonts w:ascii="DaxPro-Regular" w:hAnsi="DaxPro-Regular" w:cs="DaxPro-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D49D8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6D49D8"/>
    <w:rPr>
      <w:rFonts w:cs="DaxPro-Regular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6D49D8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6D49D8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6D49D8"/>
    <w:pPr>
      <w:spacing w:line="24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6D49D8"/>
    <w:pPr>
      <w:spacing w:line="24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6D49D8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6D49D8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6D49D8"/>
    <w:pPr>
      <w:spacing w:line="241" w:lineRule="atLeast"/>
    </w:pPr>
    <w:rPr>
      <w:rFonts w:cstheme="minorBidi"/>
      <w:color w:val="auto"/>
    </w:rPr>
  </w:style>
  <w:style w:type="paragraph" w:styleId="Zhlav">
    <w:name w:val="header"/>
    <w:basedOn w:val="Normln"/>
    <w:link w:val="ZhlavChar"/>
    <w:uiPriority w:val="99"/>
    <w:semiHidden/>
    <w:unhideWhenUsed/>
    <w:rsid w:val="005F6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F6612"/>
  </w:style>
  <w:style w:type="paragraph" w:styleId="Zpat">
    <w:name w:val="footer"/>
    <w:basedOn w:val="Normln"/>
    <w:link w:val="ZpatChar"/>
    <w:uiPriority w:val="99"/>
    <w:semiHidden/>
    <w:unhideWhenUsed/>
    <w:rsid w:val="005F6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F6612"/>
  </w:style>
  <w:style w:type="character" w:styleId="Hypertextovodkaz">
    <w:name w:val="Hyperlink"/>
    <w:basedOn w:val="Standardnpsmoodstavce"/>
    <w:uiPriority w:val="99"/>
    <w:unhideWhenUsed/>
    <w:rsid w:val="005F66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stanova@vinarskyfond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496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rockova</dc:creator>
  <cp:keywords/>
  <dc:description/>
  <cp:lastModifiedBy>rockova</cp:lastModifiedBy>
  <cp:revision>3</cp:revision>
  <dcterms:created xsi:type="dcterms:W3CDTF">2012-04-03T07:00:00Z</dcterms:created>
  <dcterms:modified xsi:type="dcterms:W3CDTF">2012-04-04T07:39:00Z</dcterms:modified>
</cp:coreProperties>
</file>