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497" w:rsidRPr="00C21497" w:rsidRDefault="00C21497" w:rsidP="00C21497">
      <w:pPr>
        <w:jc w:val="center"/>
        <w:rPr>
          <w:b/>
          <w:sz w:val="28"/>
          <w:szCs w:val="28"/>
        </w:rPr>
      </w:pPr>
      <w:bookmarkStart w:id="0" w:name="_GoBack"/>
      <w:bookmarkEnd w:id="0"/>
      <w:r w:rsidRPr="00C21497">
        <w:rPr>
          <w:b/>
          <w:sz w:val="28"/>
          <w:szCs w:val="28"/>
        </w:rPr>
        <w:t>Nové švýcarské PIWI odrůdy</w:t>
      </w:r>
    </w:p>
    <w:p w:rsidR="00C21497" w:rsidRDefault="00C21497" w:rsidP="00C21497">
      <w:pPr>
        <w:jc w:val="center"/>
      </w:pPr>
      <w:r>
        <w:t>Jiří Sedlo</w:t>
      </w:r>
      <w:r w:rsidR="008476A9">
        <w:t>,</w:t>
      </w:r>
      <w:r>
        <w:t xml:space="preserve"> Volker </w:t>
      </w:r>
      <w:proofErr w:type="spellStart"/>
      <w:r>
        <w:t>Freytag</w:t>
      </w:r>
      <w:proofErr w:type="spellEnd"/>
      <w:r w:rsidR="008476A9">
        <w:t xml:space="preserve"> a Valentin </w:t>
      </w:r>
      <w:proofErr w:type="spellStart"/>
      <w:r w:rsidR="008476A9">
        <w:t>Blattner</w:t>
      </w:r>
      <w:proofErr w:type="spellEnd"/>
    </w:p>
    <w:p w:rsidR="00C21497" w:rsidRPr="00C21497" w:rsidRDefault="00C21497" w:rsidP="00194A44">
      <w:pPr>
        <w:jc w:val="both"/>
        <w:rPr>
          <w:i/>
        </w:rPr>
      </w:pPr>
      <w:r>
        <w:rPr>
          <w:i/>
        </w:rPr>
        <w:t xml:space="preserve">Šlechtitel révy vinné Valentin </w:t>
      </w:r>
      <w:proofErr w:type="spellStart"/>
      <w:r>
        <w:rPr>
          <w:i/>
        </w:rPr>
        <w:t>Blattner</w:t>
      </w:r>
      <w:proofErr w:type="spellEnd"/>
      <w:r>
        <w:rPr>
          <w:i/>
        </w:rPr>
        <w:t xml:space="preserve"> ve Švýcarsku vytvořil v posledních téměř třiceti letech desítku odrůd, které v Německu úspěšně selektuje a množí Volker Freytag. </w:t>
      </w:r>
      <w:r w:rsidR="00194A44">
        <w:rPr>
          <w:i/>
        </w:rPr>
        <w:t xml:space="preserve">Tyto odrůdy se rozšiřují po Evropě, </w:t>
      </w:r>
      <w:r w:rsidR="00194A44" w:rsidRPr="00194A44">
        <w:t>zvláště</w:t>
      </w:r>
      <w:r w:rsidR="00194A44">
        <w:rPr>
          <w:i/>
        </w:rPr>
        <w:t xml:space="preserve"> v severních oblastech (Německo,</w:t>
      </w:r>
      <w:r w:rsidR="00B94B88">
        <w:rPr>
          <w:i/>
        </w:rPr>
        <w:t xml:space="preserve"> Švýcarsko,</w:t>
      </w:r>
      <w:r w:rsidR="00194A44">
        <w:rPr>
          <w:i/>
        </w:rPr>
        <w:t xml:space="preserve"> </w:t>
      </w:r>
      <w:r w:rsidR="000A5DEB">
        <w:rPr>
          <w:i/>
        </w:rPr>
        <w:t>Lucembursko,</w:t>
      </w:r>
      <w:r w:rsidR="00B94B88">
        <w:rPr>
          <w:i/>
        </w:rPr>
        <w:t xml:space="preserve"> Rakousko,</w:t>
      </w:r>
      <w:r w:rsidR="000A5DEB">
        <w:rPr>
          <w:i/>
        </w:rPr>
        <w:t xml:space="preserve"> </w:t>
      </w:r>
      <w:r w:rsidR="00194A44">
        <w:rPr>
          <w:i/>
        </w:rPr>
        <w:t xml:space="preserve">Holandsko, Anglie, Belgie, Dánsko, Polsko). Některé jsou i v České republice. </w:t>
      </w:r>
    </w:p>
    <w:p w:rsidR="00C21497" w:rsidRDefault="00C21497" w:rsidP="00C21497"/>
    <w:p w:rsidR="00194A44" w:rsidRPr="00194A44" w:rsidRDefault="00194A44" w:rsidP="00C21497">
      <w:pPr>
        <w:rPr>
          <w:b/>
        </w:rPr>
      </w:pPr>
      <w:r>
        <w:rPr>
          <w:b/>
        </w:rPr>
        <w:t>Cabernet blanc</w:t>
      </w:r>
    </w:p>
    <w:p w:rsidR="00194A44" w:rsidRDefault="005C7ED3" w:rsidP="005C7ED3">
      <w:pPr>
        <w:jc w:val="both"/>
      </w:pPr>
      <w:r>
        <w:t xml:space="preserve">Tato odrůda patří k nejúspěšnějším </w:t>
      </w:r>
      <w:proofErr w:type="spellStart"/>
      <w:r>
        <w:t>PiWi</w:t>
      </w:r>
      <w:proofErr w:type="spellEnd"/>
      <w:r>
        <w:t xml:space="preserve"> odrůdám v Evropě v posledních letech. Vytvořil ji Valentin </w:t>
      </w:r>
      <w:proofErr w:type="spellStart"/>
      <w:r>
        <w:t>Blattner</w:t>
      </w:r>
      <w:proofErr w:type="spellEnd"/>
      <w:r>
        <w:t xml:space="preserve"> v roce 1991 křížením Cabernetu Sauvignon s donorem rezistence. V roce 1994 ji Volker Freytag přihlásil k právní ochraně a v roce 2010 k registraci. Svými velmi dobrými pěstitelskými vlastnostmi, vysokou odolností vůči houbovým chorobám a ne nakonec i dobrému názvu si rychle získala oblibu mezi vinaři i konzumenty vína. V posledních pěti letech se rychle rozšířila</w:t>
      </w:r>
      <w:r w:rsidR="000A5DEB">
        <w:t xml:space="preserve"> v Německu, Lucembursku, Belgii, Rakousku, Česku, Francii, Itálii, Nizozemsku a Anglii.</w:t>
      </w:r>
    </w:p>
    <w:p w:rsidR="006E3D89" w:rsidRDefault="006E3D89" w:rsidP="00582E3B">
      <w:pPr>
        <w:jc w:val="center"/>
      </w:pPr>
      <w:r>
        <w:rPr>
          <w:noProof/>
          <w:lang w:eastAsia="cs-CZ"/>
        </w:rPr>
        <w:drawing>
          <wp:inline distT="0" distB="0" distL="0" distR="0" wp14:anchorId="3CEB3A92" wp14:editId="2732C0E4">
            <wp:extent cx="2669853" cy="2669853"/>
            <wp:effectExtent l="0" t="0" r="0" b="0"/>
            <wp:docPr id="1" name="obrázek 2" descr="Cab blanc Tra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 blanc Traub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9838" cy="2669838"/>
                    </a:xfrm>
                    <a:prstGeom prst="rect">
                      <a:avLst/>
                    </a:prstGeom>
                    <a:noFill/>
                    <a:ln>
                      <a:noFill/>
                    </a:ln>
                  </pic:spPr>
                </pic:pic>
              </a:graphicData>
            </a:graphic>
          </wp:inline>
        </w:drawing>
      </w:r>
    </w:p>
    <w:p w:rsidR="000A5DEB" w:rsidRDefault="000A5DEB" w:rsidP="000A5DEB">
      <w:pPr>
        <w:jc w:val="both"/>
      </w:pPr>
      <w:r>
        <w:t xml:space="preserve">Hrozen obsahuje vedle sebe bobule normální a neoplozené (hráškovité) na značně větvené třapině, je tedy velmi vzdušný. Před dosažením úplné zralosti působí malé, kulaté, tmavě zelené bobule dlouho nezralým dojmem. </w:t>
      </w:r>
      <w:r w:rsidR="001427A5">
        <w:t xml:space="preserve">Na začátku zralosti počátkem října se zbarví do žluta. Zvláště malé bezsemenné bobule vykazují vysoký obsah cukru a bezcukerného extraktu.  </w:t>
      </w:r>
    </w:p>
    <w:p w:rsidR="001427A5" w:rsidRDefault="001427A5" w:rsidP="006E3D89">
      <w:pPr>
        <w:jc w:val="both"/>
      </w:pPr>
      <w:r>
        <w:t>Odolnost vůči plísni révy je střední, proti padlí révy i plísni šedé vysoká.</w:t>
      </w:r>
      <w:r w:rsidR="00A850D1">
        <w:t xml:space="preserve"> Mrazuvzdornost je poměrně vysoká, asi jako u Ryzlinku rýnského.</w:t>
      </w:r>
    </w:p>
    <w:p w:rsidR="00C21497" w:rsidRDefault="001427A5" w:rsidP="008705C3">
      <w:pPr>
        <w:jc w:val="both"/>
      </w:pPr>
      <w:r>
        <w:t>Víno připomíná již ve vůni elegantní Sauvignon blanc.</w:t>
      </w:r>
      <w:r w:rsidR="00AB24F9">
        <w:t xml:space="preserve"> </w:t>
      </w:r>
      <w:r w:rsidR="00A52F9B">
        <w:t>Hrozny sklizené při střední zralosti a zpracované reduktivně v nerezových tancích</w:t>
      </w:r>
      <w:r w:rsidR="008705C3">
        <w:t xml:space="preserve"> poskytují vína kořenitá s vůní trávy, angreštu, artyčoku, černého rybízu a kouře. Při sklizni v plné zralosti dávají hrozny vína s vůní mučenky jedlé, liči, červené papriky </w:t>
      </w:r>
      <w:r w:rsidR="00EA550C">
        <w:t>a kořenitých lučních bylin.</w:t>
      </w:r>
    </w:p>
    <w:p w:rsidR="00EA550C" w:rsidRDefault="00EA550C" w:rsidP="00EA550C">
      <w:pPr>
        <w:jc w:val="both"/>
      </w:pPr>
      <w:r>
        <w:lastRenderedPageBreak/>
        <w:t>Cabernet blanc má vitální vzpřímený vzrůst, proto je vhodný pro delší vzdálenosti v řádku. Vyžaduje 1,25 m, aby se snížilo odrůdově typické sprchávání. Regulace výnosu protrháváním hroznů by se měla provádět až po odkvětu, kdy je již zřejmý možný výnos.</w:t>
      </w:r>
      <w:r w:rsidR="00A850D1">
        <w:t xml:space="preserve"> Zóna hroznů je díky silně vykrajovaným listům vzdušná.</w:t>
      </w:r>
    </w:p>
    <w:p w:rsidR="00A850D1" w:rsidRDefault="00A850D1" w:rsidP="00EA550C">
      <w:pPr>
        <w:jc w:val="both"/>
      </w:pPr>
    </w:p>
    <w:p w:rsidR="00A850D1" w:rsidRDefault="00582E3B" w:rsidP="00EA550C">
      <w:pPr>
        <w:jc w:val="both"/>
        <w:rPr>
          <w:b/>
        </w:rPr>
      </w:pPr>
      <w:proofErr w:type="spellStart"/>
      <w:r>
        <w:rPr>
          <w:b/>
        </w:rPr>
        <w:t>Pinotin</w:t>
      </w:r>
      <w:proofErr w:type="spellEnd"/>
    </w:p>
    <w:p w:rsidR="00582E3B" w:rsidRDefault="00582E3B" w:rsidP="00582E3B">
      <w:pPr>
        <w:jc w:val="both"/>
      </w:pPr>
      <w:r>
        <w:t xml:space="preserve">Odrůda </w:t>
      </w:r>
      <w:proofErr w:type="spellStart"/>
      <w:r>
        <w:t>Pinotin</w:t>
      </w:r>
      <w:proofErr w:type="spellEnd"/>
      <w:r>
        <w:t xml:space="preserve"> je PIWI </w:t>
      </w:r>
      <w:proofErr w:type="spellStart"/>
      <w:r>
        <w:t>novošlechtění</w:t>
      </w:r>
      <w:proofErr w:type="spellEnd"/>
      <w:r>
        <w:t xml:space="preserve"> burgundského typu, v</w:t>
      </w:r>
      <w:r w:rsidR="007227EB">
        <w:t>yšlechtil ji</w:t>
      </w:r>
      <w:r>
        <w:t xml:space="preserve"> </w:t>
      </w:r>
      <w:r w:rsidR="007227EB">
        <w:t xml:space="preserve">Valentin </w:t>
      </w:r>
      <w:proofErr w:type="spellStart"/>
      <w:r w:rsidR="007227EB">
        <w:t>Blattner</w:t>
      </w:r>
      <w:proofErr w:type="spellEnd"/>
      <w:r w:rsidR="007227EB">
        <w:t xml:space="preserve"> </w:t>
      </w:r>
      <w:r>
        <w:t xml:space="preserve">v roce 1991 křížením odrůdy Pinot noir s donorem rezistence. </w:t>
      </w:r>
      <w:r w:rsidR="007227EB">
        <w:t xml:space="preserve">V roce 2002 získal Volker Freytag právní ochranu k odrůdě a v roce 2010 byl </w:t>
      </w:r>
      <w:proofErr w:type="spellStart"/>
      <w:r w:rsidR="007227EB">
        <w:t>Pinotin</w:t>
      </w:r>
      <w:proofErr w:type="spellEnd"/>
      <w:r w:rsidR="007227EB">
        <w:t xml:space="preserve"> registrován jako povolená odrůda. Pěstuje se v Německu, státech Beneluxu a Anglii.</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582E3B" w:rsidTr="007227EB">
        <w:tc>
          <w:tcPr>
            <w:tcW w:w="3070" w:type="dxa"/>
          </w:tcPr>
          <w:p w:rsidR="00582E3B" w:rsidRDefault="00582E3B" w:rsidP="00582E3B">
            <w:pPr>
              <w:jc w:val="both"/>
            </w:pPr>
            <w:r>
              <w:rPr>
                <w:noProof/>
                <w:lang w:eastAsia="cs-CZ"/>
              </w:rPr>
              <w:drawing>
                <wp:inline distT="0" distB="0" distL="0" distR="0" wp14:anchorId="59A1C62C" wp14:editId="2E3C6E10">
                  <wp:extent cx="1750563" cy="1750563"/>
                  <wp:effectExtent l="0" t="0" r="2540" b="2540"/>
                  <wp:docPr id="2" name="obrázek 4" descr="Pinotin Tra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otin Traub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0553" cy="1750553"/>
                          </a:xfrm>
                          <a:prstGeom prst="rect">
                            <a:avLst/>
                          </a:prstGeom>
                          <a:noFill/>
                          <a:ln>
                            <a:noFill/>
                          </a:ln>
                        </pic:spPr>
                      </pic:pic>
                    </a:graphicData>
                  </a:graphic>
                </wp:inline>
              </w:drawing>
            </w:r>
          </w:p>
        </w:tc>
        <w:tc>
          <w:tcPr>
            <w:tcW w:w="3071" w:type="dxa"/>
          </w:tcPr>
          <w:p w:rsidR="00582E3B" w:rsidRDefault="00582E3B" w:rsidP="00582E3B">
            <w:pPr>
              <w:jc w:val="both"/>
            </w:pPr>
            <w:r>
              <w:rPr>
                <w:noProof/>
                <w:lang w:eastAsia="cs-CZ"/>
              </w:rPr>
              <w:drawing>
                <wp:inline distT="0" distB="0" distL="0" distR="0" wp14:anchorId="5F571AC0" wp14:editId="2BAA27C5">
                  <wp:extent cx="1745673" cy="1745673"/>
                  <wp:effectExtent l="0" t="0" r="6985" b="6985"/>
                  <wp:docPr id="3" name="obrázek 6" descr="Pinotin 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otin Bla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5662" cy="1745662"/>
                          </a:xfrm>
                          <a:prstGeom prst="rect">
                            <a:avLst/>
                          </a:prstGeom>
                          <a:noFill/>
                          <a:ln>
                            <a:noFill/>
                          </a:ln>
                        </pic:spPr>
                      </pic:pic>
                    </a:graphicData>
                  </a:graphic>
                </wp:inline>
              </w:drawing>
            </w:r>
          </w:p>
        </w:tc>
        <w:tc>
          <w:tcPr>
            <w:tcW w:w="3071" w:type="dxa"/>
          </w:tcPr>
          <w:p w:rsidR="00582E3B" w:rsidRDefault="00582E3B" w:rsidP="00582E3B">
            <w:pPr>
              <w:jc w:val="both"/>
            </w:pPr>
            <w:r>
              <w:rPr>
                <w:noProof/>
                <w:lang w:eastAsia="cs-CZ"/>
              </w:rPr>
              <w:drawing>
                <wp:inline distT="0" distB="0" distL="0" distR="0" wp14:anchorId="39C4793F" wp14:editId="416C4712">
                  <wp:extent cx="1779901" cy="1779901"/>
                  <wp:effectExtent l="0" t="0" r="0" b="0"/>
                  <wp:docPr id="4" name="obrázek 8" descr="Pinotin Rei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otin Rei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890" cy="1779890"/>
                          </a:xfrm>
                          <a:prstGeom prst="rect">
                            <a:avLst/>
                          </a:prstGeom>
                          <a:noFill/>
                          <a:ln>
                            <a:noFill/>
                          </a:ln>
                        </pic:spPr>
                      </pic:pic>
                    </a:graphicData>
                  </a:graphic>
                </wp:inline>
              </w:drawing>
            </w:r>
          </w:p>
        </w:tc>
      </w:tr>
    </w:tbl>
    <w:p w:rsidR="00582E3B" w:rsidRDefault="00582E3B" w:rsidP="00582E3B">
      <w:pPr>
        <w:jc w:val="both"/>
      </w:pPr>
    </w:p>
    <w:p w:rsidR="007227EB" w:rsidRDefault="007227EB" w:rsidP="00582E3B">
      <w:pPr>
        <w:jc w:val="both"/>
      </w:pPr>
      <w:r>
        <w:t xml:space="preserve">Hrozen je menší, podlouhlý, velmi vzdušný a jen zřídka větvený. </w:t>
      </w:r>
      <w:r w:rsidR="0037780B">
        <w:t xml:space="preserve">Bobule je kulatá, středně velká, potažená rovnoměrnou voskovou vrstvou. Vybarvuje se brzy a rovnoměrně. </w:t>
      </w:r>
    </w:p>
    <w:p w:rsidR="00582E3B" w:rsidRDefault="0037780B" w:rsidP="00582E3B">
      <w:pPr>
        <w:jc w:val="both"/>
      </w:pPr>
      <w:r w:rsidRPr="0037780B">
        <w:t xml:space="preserve">Odolnost vůči plísni révy je střední, proti padlí révy i plísni šedé vysoká. Mrazuvzdornost je </w:t>
      </w:r>
      <w:r>
        <w:t>velmi dobrá</w:t>
      </w:r>
      <w:r w:rsidRPr="0037780B">
        <w:t>.</w:t>
      </w:r>
    </w:p>
    <w:p w:rsidR="00582E3B" w:rsidRDefault="0037780B" w:rsidP="00582E3B">
      <w:pPr>
        <w:jc w:val="both"/>
      </w:pPr>
      <w:r>
        <w:t>Víno se podobá na Pinot noir, jak vyplývá již z názvu, ale má vyšší barvu.</w:t>
      </w:r>
      <w:r w:rsidR="00FB538B">
        <w:t xml:space="preserve"> Aroma připomíná lesní plody </w:t>
      </w:r>
      <w:r w:rsidR="00DA6068">
        <w:t xml:space="preserve">až višně </w:t>
      </w:r>
      <w:r w:rsidR="00FB538B">
        <w:t xml:space="preserve">s jemnou strukturou taninů. Chuť je nekomplikovaná. </w:t>
      </w:r>
    </w:p>
    <w:p w:rsidR="00832FF0" w:rsidRDefault="00FB538B" w:rsidP="00582E3B">
      <w:pPr>
        <w:jc w:val="both"/>
      </w:pPr>
      <w:r>
        <w:t xml:space="preserve">Dozrává asi týden před Pinot noir, tedy v druhé polovině září. </w:t>
      </w:r>
      <w:r w:rsidR="00DA6068">
        <w:t>Roste středně silně, obdobně jako Pinot noir, ale vzpřímeněji. Rovněž výnos hroznů je obdobný. V prvních letech je nutné výnos regulovat, aby byly keře rovnoměrně zatíženy.</w:t>
      </w:r>
    </w:p>
    <w:p w:rsidR="00C67A4E" w:rsidRDefault="00C67A4E" w:rsidP="00582E3B">
      <w:pPr>
        <w:jc w:val="both"/>
      </w:pPr>
    </w:p>
    <w:p w:rsidR="00C67A4E" w:rsidRDefault="00C67A4E" w:rsidP="00582E3B">
      <w:pPr>
        <w:jc w:val="both"/>
        <w:rPr>
          <w:b/>
        </w:rPr>
      </w:pPr>
      <w:proofErr w:type="spellStart"/>
      <w:r>
        <w:rPr>
          <w:b/>
        </w:rPr>
        <w:t>Cabertin</w:t>
      </w:r>
      <w:proofErr w:type="spellEnd"/>
    </w:p>
    <w:p w:rsidR="00496355" w:rsidRDefault="007A4A08" w:rsidP="00496355">
      <w:pPr>
        <w:jc w:val="both"/>
      </w:pPr>
      <w:r>
        <w:t>Odrůd</w:t>
      </w:r>
      <w:r w:rsidR="00223DC7">
        <w:t>u</w:t>
      </w:r>
      <w:r>
        <w:t xml:space="preserve"> v</w:t>
      </w:r>
      <w:r w:rsidR="00223DC7">
        <w:t>yšlechtil</w:t>
      </w:r>
      <w:r>
        <w:t xml:space="preserve"> v roce 1991 </w:t>
      </w:r>
      <w:r w:rsidR="00223DC7">
        <w:t xml:space="preserve">Valentin </w:t>
      </w:r>
      <w:proofErr w:type="spellStart"/>
      <w:r w:rsidR="00223DC7">
        <w:t>Blattner</w:t>
      </w:r>
      <w:proofErr w:type="spellEnd"/>
      <w:r w:rsidR="00223DC7">
        <w:t xml:space="preserve"> křížením Cabernetu </w:t>
      </w:r>
      <w:proofErr w:type="spellStart"/>
      <w:r w:rsidR="00223DC7">
        <w:t>Sauvignon</w:t>
      </w:r>
      <w:proofErr w:type="spellEnd"/>
      <w:r w:rsidR="00223DC7">
        <w:t xml:space="preserve"> s rezistentním partnerem. Cílem bylo i zde umožnit vznik mezinárodního typu červeného vína v severních vinařských oblastech. Fyziologickou zralostí nastupující 10 až 14 dnů před Cabernetem Sauvignon, zachováním si typičnosti </w:t>
      </w:r>
      <w:proofErr w:type="spellStart"/>
      <w:r w:rsidR="00223DC7">
        <w:t>kabernetového</w:t>
      </w:r>
      <w:proofErr w:type="spellEnd"/>
      <w:r w:rsidR="00223DC7">
        <w:t xml:space="preserve"> typu vína a vhodnými pěstitelskými vlastnostmi se tohoto cíle podařilo dosáhnout, </w:t>
      </w:r>
      <w:proofErr w:type="spellStart"/>
      <w:r w:rsidR="00223DC7">
        <w:t>Cabertin</w:t>
      </w:r>
      <w:proofErr w:type="spellEnd"/>
      <w:r w:rsidR="00223DC7">
        <w:t xml:space="preserve"> je stále více rozšiřován. </w:t>
      </w:r>
      <w:r w:rsidR="00496355">
        <w:t xml:space="preserve">Závěrečnou selekci, množení a uvedení na trh zajistil podnik </w:t>
      </w:r>
      <w:proofErr w:type="spellStart"/>
      <w:r w:rsidR="00496355">
        <w:t>Rebschule</w:t>
      </w:r>
      <w:proofErr w:type="spellEnd"/>
      <w:r w:rsidR="00496355">
        <w:t xml:space="preserve"> </w:t>
      </w:r>
      <w:proofErr w:type="spellStart"/>
      <w:r w:rsidR="00496355">
        <w:t>Freytag</w:t>
      </w:r>
      <w:proofErr w:type="spellEnd"/>
      <w:r w:rsidR="00496355">
        <w:t xml:space="preserve"> ve falckém </w:t>
      </w:r>
      <w:proofErr w:type="spellStart"/>
      <w:r w:rsidR="00496355">
        <w:t>Lachen-Speyerdorf</w:t>
      </w:r>
      <w:proofErr w:type="spellEnd"/>
      <w:r w:rsidR="00496355">
        <w:t xml:space="preserve">. V Německu byla odrůda uznána v roce 2017. </w:t>
      </w:r>
      <w:proofErr w:type="spellStart"/>
      <w:r w:rsidR="00496355">
        <w:t>Cabertin</w:t>
      </w:r>
      <w:proofErr w:type="spellEnd"/>
      <w:r w:rsidR="00496355">
        <w:t xml:space="preserve"> je sourozencem Cabernetu blanc. V Porýní-Falci se nyní pěstuje na 4,5 ha, výsadby jsou i ve Švýcarsku, v Belgii a Nizozemsku.</w:t>
      </w:r>
    </w:p>
    <w:p w:rsidR="007A4A08" w:rsidRDefault="007A4A08" w:rsidP="007A4A08">
      <w:pPr>
        <w:jc w:val="both"/>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gridCol w:w="4963"/>
      </w:tblGrid>
      <w:tr w:rsidR="007A4A08" w:rsidTr="007A4A08">
        <w:tc>
          <w:tcPr>
            <w:tcW w:w="4606" w:type="dxa"/>
            <w:vAlign w:val="center"/>
          </w:tcPr>
          <w:p w:rsidR="007A4A08" w:rsidRDefault="007A4A08" w:rsidP="007A4A08">
            <w:pPr>
              <w:jc w:val="center"/>
            </w:pPr>
            <w:r>
              <w:rPr>
                <w:noProof/>
                <w:lang w:eastAsia="cs-CZ"/>
              </w:rPr>
              <w:drawing>
                <wp:inline distT="0" distB="0" distL="0" distR="0" wp14:anchorId="5312752E" wp14:editId="06265AAE">
                  <wp:extent cx="2655183" cy="3985266"/>
                  <wp:effectExtent l="0" t="0" r="0" b="0"/>
                  <wp:docPr id="5" name="obrázek 2" descr="http://www.rebschule-freytag.de/files/simpler/images/freytag_content/rebsortiment/neue%20sorten/cabertin/Cabertin%20st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bschule-freytag.de/files/simpler/images/freytag_content/rebsortiment/neue%20sorten/cabertin/Cabertin%20star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131" cy="3985188"/>
                          </a:xfrm>
                          <a:prstGeom prst="rect">
                            <a:avLst/>
                          </a:prstGeom>
                          <a:noFill/>
                          <a:ln>
                            <a:noFill/>
                          </a:ln>
                        </pic:spPr>
                      </pic:pic>
                    </a:graphicData>
                  </a:graphic>
                </wp:inline>
              </w:drawing>
            </w:r>
          </w:p>
        </w:tc>
        <w:tc>
          <w:tcPr>
            <w:tcW w:w="4606" w:type="dxa"/>
            <w:vAlign w:val="center"/>
          </w:tcPr>
          <w:p w:rsidR="007A4A08" w:rsidRDefault="007A4A08" w:rsidP="007A4A08">
            <w:pPr>
              <w:jc w:val="center"/>
            </w:pPr>
            <w:r>
              <w:rPr>
                <w:noProof/>
                <w:lang w:eastAsia="cs-CZ"/>
              </w:rPr>
              <w:drawing>
                <wp:inline distT="0" distB="0" distL="0" distR="0" wp14:anchorId="08716715" wp14:editId="018C4801">
                  <wp:extent cx="3061040" cy="2296865"/>
                  <wp:effectExtent l="0" t="0" r="6350" b="8255"/>
                  <wp:docPr id="6" name="obrázek 4" descr="http://www.rebschule-freytag.de/files/simpler/images/freytag_content/rebsortiment/neue%20sorten/cabertin/Cabertin_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bschule-freytag.de/files/simpler/images/freytag_content/rebsortiment/neue%20sorten/cabertin/Cabertin_Blat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340" cy="2298591"/>
                          </a:xfrm>
                          <a:prstGeom prst="rect">
                            <a:avLst/>
                          </a:prstGeom>
                          <a:noFill/>
                          <a:ln>
                            <a:noFill/>
                          </a:ln>
                        </pic:spPr>
                      </pic:pic>
                    </a:graphicData>
                  </a:graphic>
                </wp:inline>
              </w:drawing>
            </w:r>
          </w:p>
        </w:tc>
      </w:tr>
    </w:tbl>
    <w:p w:rsidR="007A4A08" w:rsidRDefault="007A4A08" w:rsidP="007A4A08">
      <w:pPr>
        <w:jc w:val="both"/>
      </w:pPr>
    </w:p>
    <w:p w:rsidR="000A1531" w:rsidRDefault="000A1531" w:rsidP="000A1531">
      <w:pPr>
        <w:jc w:val="both"/>
      </w:pPr>
      <w:r>
        <w:t xml:space="preserve">Hrozen je malý, řídký a málo větvený. Bobule jsou kulaté, malé, pokryty stejnoměrnou voskovou vrstvou. </w:t>
      </w:r>
    </w:p>
    <w:p w:rsidR="000A1531" w:rsidRDefault="000A1531" w:rsidP="000A1531">
      <w:pPr>
        <w:jc w:val="both"/>
      </w:pPr>
      <w:r>
        <w:t>Odolnost vůči padlí révy je střední, proti plísni révy i plísni šedé je vysoká.</w:t>
      </w:r>
      <w:r w:rsidRPr="000A1531">
        <w:t xml:space="preserve"> </w:t>
      </w:r>
      <w:r>
        <w:t>Podle polohy je vhodné přirozenou odolnost před květem a po odkvětu podpořit ošetřením. Mrazuvzdornost je velmi vysoká.</w:t>
      </w:r>
    </w:p>
    <w:p w:rsidR="000A1531" w:rsidRDefault="000A1531" w:rsidP="000A1531">
      <w:pPr>
        <w:jc w:val="both"/>
      </w:pPr>
      <w:r>
        <w:t>Víno má tmavě červenou barvu. Vůně připomíná lesní plody, ostružiny a černý rybíz. Příbuznost s Cabernetem Sauvignon vyjadřují typické pyrazinové tóny připomínající papriku, víno je bohaté na taniny. V celkové charakteristice se víno z této PIWI odrůdy „nové generace“ v chuti podobá na Syrah nebo Cabernet Sauvignon ze Středomoří. Je vhodné pro zrání v sudech barrique.</w:t>
      </w:r>
    </w:p>
    <w:p w:rsidR="000A1531" w:rsidRDefault="000A1531" w:rsidP="000A1531">
      <w:pPr>
        <w:jc w:val="both"/>
      </w:pPr>
      <w:r>
        <w:t xml:space="preserve">Hrozny </w:t>
      </w:r>
      <w:proofErr w:type="spellStart"/>
      <w:r>
        <w:t>Cabertinu</w:t>
      </w:r>
      <w:proofErr w:type="spellEnd"/>
      <w:r>
        <w:t xml:space="preserve"> dozrávají v první půlce října. Růst je svislý a velmi silný. Ještě v pozdním létě vznikají zálistky, což se kladně projevuje na vytváření cukrů</w:t>
      </w:r>
      <w:r w:rsidR="00B94B88">
        <w:t xml:space="preserve"> v hroznech</w:t>
      </w:r>
      <w:r>
        <w:t xml:space="preserve">. Vzpřímený růst zajišťuje rovnoměrné provzdušnění a oslunění zóny hroznů, takže není nutné </w:t>
      </w:r>
      <w:r w:rsidR="00B94B88">
        <w:t>její částečné odlistění.</w:t>
      </w:r>
    </w:p>
    <w:p w:rsidR="000C60D3" w:rsidRDefault="000C60D3" w:rsidP="000A1531">
      <w:pPr>
        <w:jc w:val="both"/>
      </w:pPr>
    </w:p>
    <w:p w:rsidR="000C60D3" w:rsidRDefault="000C60D3" w:rsidP="000A1531">
      <w:pPr>
        <w:jc w:val="both"/>
        <w:rPr>
          <w:b/>
        </w:rPr>
      </w:pPr>
      <w:r>
        <w:rPr>
          <w:b/>
        </w:rPr>
        <w:t>Cabernet Jura</w:t>
      </w:r>
    </w:p>
    <w:p w:rsidR="000C60D3" w:rsidRPr="000C60D3" w:rsidRDefault="00530C86" w:rsidP="000A1531">
      <w:pPr>
        <w:jc w:val="both"/>
      </w:pPr>
      <w:r>
        <w:t xml:space="preserve">Odrůda vyšlechtěná Valentinem </w:t>
      </w:r>
      <w:proofErr w:type="spellStart"/>
      <w:r>
        <w:t>Blattnerem</w:t>
      </w:r>
      <w:proofErr w:type="spellEnd"/>
      <w:r>
        <w:t xml:space="preserve"> v roce 1991 křížením Cabernetu Sauvignon s donorem rezistence. V názvu je obsažena rodičovská odrůda a švýcarský kanton, v němž šlechtitel nyní sídlí. Stejně jako u všech předcházejících odrůd proběhlo vlastní křížení i </w:t>
      </w:r>
      <w:r>
        <w:lastRenderedPageBreak/>
        <w:t>výběr semenáčů</w:t>
      </w:r>
      <w:r w:rsidR="008476A9">
        <w:t xml:space="preserve"> v basilejském kantonu</w:t>
      </w:r>
      <w:r>
        <w:t xml:space="preserve">, </w:t>
      </w:r>
      <w:r w:rsidR="008476A9">
        <w:t>semenáče byly vysety a selektovány v roce 1992 ve VÚ pro biologické zemědělství (FIBL) v </w:t>
      </w:r>
      <w:proofErr w:type="spellStart"/>
      <w:r w:rsidR="008476A9">
        <w:t>Oberwil</w:t>
      </w:r>
      <w:proofErr w:type="spellEnd"/>
      <w:r w:rsidR="008476A9">
        <w:t xml:space="preserve"> u Basileje. V roce 2000 přihlásil odrůdu Volker Freytag k právní ochraně. Ve Švýcarsku tato odrůda stále nabývá na významu, nyní </w:t>
      </w:r>
      <w:r w:rsidR="00AE3F15">
        <w:t xml:space="preserve">tam </w:t>
      </w:r>
      <w:r w:rsidR="008476A9">
        <w:t>patří k nejčastěji vysazovaným modrým PIWI odrůdám</w:t>
      </w:r>
      <w:r w:rsidR="00B14A46">
        <w:t>, její plocha přesahuje 20 ha</w:t>
      </w:r>
      <w:r w:rsidR="008476A9">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6052"/>
      </w:tblGrid>
      <w:tr w:rsidR="008476A9" w:rsidTr="00AE3F15">
        <w:tc>
          <w:tcPr>
            <w:tcW w:w="4606" w:type="dxa"/>
            <w:vAlign w:val="center"/>
          </w:tcPr>
          <w:p w:rsidR="008476A9" w:rsidRDefault="008476A9" w:rsidP="00AE3F15">
            <w:pPr>
              <w:jc w:val="center"/>
            </w:pPr>
            <w:r>
              <w:rPr>
                <w:noProof/>
                <w:lang w:eastAsia="cs-CZ"/>
              </w:rPr>
              <w:drawing>
                <wp:inline distT="0" distB="0" distL="0" distR="0" wp14:anchorId="606B1CB7" wp14:editId="0839850E">
                  <wp:extent cx="1960826" cy="2943078"/>
                  <wp:effectExtent l="0" t="0" r="1905" b="0"/>
                  <wp:docPr id="7" name="obrázek 2" descr="http://www.rebschule-freytag.de/files/simpler/images/freytag_content/rebsortiment/neue%20sorten/cabernet%20jura/Cab%20Jura%20Tra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bschule-freytag.de/files/simpler/images/freytag_content/rebsortiment/neue%20sorten/cabernet%20jura/Cab%20Jura%20Traub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0747" cy="2942959"/>
                          </a:xfrm>
                          <a:prstGeom prst="rect">
                            <a:avLst/>
                          </a:prstGeom>
                          <a:noFill/>
                          <a:ln>
                            <a:noFill/>
                          </a:ln>
                        </pic:spPr>
                      </pic:pic>
                    </a:graphicData>
                  </a:graphic>
                </wp:inline>
              </w:drawing>
            </w:r>
          </w:p>
        </w:tc>
        <w:tc>
          <w:tcPr>
            <w:tcW w:w="4606" w:type="dxa"/>
            <w:vAlign w:val="center"/>
          </w:tcPr>
          <w:p w:rsidR="008476A9" w:rsidRDefault="00AE3F15" w:rsidP="00AE3F15">
            <w:pPr>
              <w:jc w:val="center"/>
            </w:pPr>
            <w:r>
              <w:rPr>
                <w:noProof/>
                <w:lang w:eastAsia="cs-CZ"/>
              </w:rPr>
              <w:drawing>
                <wp:inline distT="0" distB="0" distL="0" distR="0" wp14:anchorId="1DB0BB95" wp14:editId="2018FCAD">
                  <wp:extent cx="3792723" cy="2845887"/>
                  <wp:effectExtent l="0" t="0" r="0" b="0"/>
                  <wp:docPr id="8" name="obrázek 4" descr="http://www.rebschule-freytag.de/files/simpler/images/freytag_content/rebsortiment/neue%20sorten/cabernet%20jura/Cab%20Jura_%20Reb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bschule-freytag.de/files/simpler/images/freytag_content/rebsortiment/neue%20sorten/cabernet%20jura/Cab%20Jura_%20Rebzei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8061" cy="2849893"/>
                          </a:xfrm>
                          <a:prstGeom prst="rect">
                            <a:avLst/>
                          </a:prstGeom>
                          <a:noFill/>
                          <a:ln>
                            <a:noFill/>
                          </a:ln>
                        </pic:spPr>
                      </pic:pic>
                    </a:graphicData>
                  </a:graphic>
                </wp:inline>
              </w:drawing>
            </w:r>
          </w:p>
        </w:tc>
      </w:tr>
    </w:tbl>
    <w:p w:rsidR="008476A9" w:rsidRDefault="008476A9" w:rsidP="00530C86">
      <w:pPr>
        <w:jc w:val="both"/>
      </w:pPr>
    </w:p>
    <w:p w:rsidR="008476A9" w:rsidRDefault="00AE3F15" w:rsidP="00530C86">
      <w:pPr>
        <w:jc w:val="both"/>
      </w:pPr>
      <w:r>
        <w:t xml:space="preserve">Hrozen je kónický až </w:t>
      </w:r>
      <w:r w:rsidR="005045E0">
        <w:t>cylindrický</w:t>
      </w:r>
      <w:r>
        <w:t xml:space="preserve">, málo větvený. Kulaté modré bobule střední velikosti jsou potaženy rovnoměrnou vrstvou vosku. Slupka je elastická a díky silnému voskovému povrchu </w:t>
      </w:r>
      <w:r w:rsidR="00B14A46">
        <w:t xml:space="preserve">dobře </w:t>
      </w:r>
      <w:r>
        <w:t xml:space="preserve">chrání </w:t>
      </w:r>
      <w:r w:rsidR="00B14A46">
        <w:t>bobuli proti plísni šedé.</w:t>
      </w:r>
    </w:p>
    <w:p w:rsidR="00B14A46" w:rsidRDefault="00B14A46" w:rsidP="00530C86">
      <w:pPr>
        <w:jc w:val="both"/>
      </w:pPr>
      <w:r>
        <w:t>Odolnost vůči padlí révy je střední, vůči plísni révy i plísni šedé je vysoká.</w:t>
      </w:r>
      <w:r w:rsidR="001C7FBE">
        <w:t xml:space="preserve"> Mrazuvzdornost je velmi dobrá.</w:t>
      </w:r>
    </w:p>
    <w:p w:rsidR="001C7FBE" w:rsidRDefault="001C7FBE" w:rsidP="00530C86">
      <w:pPr>
        <w:jc w:val="both"/>
      </w:pPr>
      <w:r>
        <w:t xml:space="preserve">Víno má tmavě červenou barvu, v chuti se podobá jižnímu </w:t>
      </w:r>
      <w:proofErr w:type="spellStart"/>
      <w:r>
        <w:t>kabernetu</w:t>
      </w:r>
      <w:proofErr w:type="spellEnd"/>
      <w:r>
        <w:t xml:space="preserve"> s marmeládovým aromatem blížícím se až k muškátu. Intenzita těchto projevů závisí na délce kvašení rmutu a jeho teplotě.</w:t>
      </w:r>
    </w:p>
    <w:p w:rsidR="00530C86" w:rsidRPr="006B2BA2" w:rsidRDefault="001C7FBE" w:rsidP="00530C86">
      <w:pPr>
        <w:jc w:val="both"/>
      </w:pPr>
      <w:r>
        <w:t xml:space="preserve">Cabernet Jura dozrává asi týden před </w:t>
      </w:r>
      <w:proofErr w:type="spellStart"/>
      <w:r>
        <w:t>Merlotem</w:t>
      </w:r>
      <w:proofErr w:type="spellEnd"/>
      <w:r>
        <w:t xml:space="preserve">. Růst je velmi silný a vzpřímený. Proto je nutné podle polohy regulovat výnos. Slupka bobule je velmi odolná vůči plísni šedé. </w:t>
      </w:r>
      <w:r w:rsidR="006B2BA2">
        <w:t xml:space="preserve">Typickým pro tuto odrůdu je, že při asi 23 </w:t>
      </w:r>
      <w:r w:rsidR="006B2BA2">
        <w:rPr>
          <w:vertAlign w:val="superscript"/>
        </w:rPr>
        <w:t>o</w:t>
      </w:r>
      <w:r w:rsidR="006B2BA2">
        <w:t>NM se bobule začnou scvrkávat a je to proto optimální čas pro sklizeň.</w:t>
      </w:r>
    </w:p>
    <w:p w:rsidR="006B2BA2" w:rsidRDefault="006B2BA2" w:rsidP="000A1531">
      <w:pPr>
        <w:jc w:val="both"/>
        <w:rPr>
          <w:b/>
        </w:rPr>
      </w:pPr>
    </w:p>
    <w:p w:rsidR="00B94B88" w:rsidRDefault="00F8361D" w:rsidP="000A1531">
      <w:pPr>
        <w:jc w:val="both"/>
      </w:pPr>
      <w:r>
        <w:rPr>
          <w:b/>
        </w:rPr>
        <w:t>VB 91-26-06</w:t>
      </w:r>
    </w:p>
    <w:p w:rsidR="00F8361D" w:rsidRDefault="00F8361D" w:rsidP="000A1531">
      <w:pPr>
        <w:jc w:val="both"/>
      </w:pPr>
      <w:r w:rsidRPr="00F8361D">
        <w:t>Jak naznačuje název</w:t>
      </w:r>
      <w:r>
        <w:t xml:space="preserve"> pouze číselným kódem, </w:t>
      </w:r>
      <w:r w:rsidR="00822407">
        <w:t xml:space="preserve">tato odrůda Valentina </w:t>
      </w:r>
      <w:proofErr w:type="spellStart"/>
      <w:r w:rsidR="00822407">
        <w:t>Blattnera</w:t>
      </w:r>
      <w:proofErr w:type="spellEnd"/>
      <w:r w:rsidR="00822407">
        <w:t xml:space="preserve"> </w:t>
      </w:r>
      <w:r w:rsidR="007671B2">
        <w:t xml:space="preserve">opět </w:t>
      </w:r>
      <w:r w:rsidR="00822407">
        <w:t xml:space="preserve">z křížení </w:t>
      </w:r>
      <w:r w:rsidR="007671B2">
        <w:t xml:space="preserve">s Cabernetem Sauvignon </w:t>
      </w:r>
      <w:r w:rsidR="00822407">
        <w:t>v roce 1991 zatím není v Evropě registrovaná, ale Volker Freytag ji již přihlásil do registračních zkoušek.</w:t>
      </w:r>
      <w:r w:rsidR="007671B2">
        <w:t xml:space="preserve"> Vykazuje genetickou příbuznost s rodičovskou odrůdou, typické pro ni jsou malé bobule s tlustší slupkou, v níž se koncentrují aroma a barviva a má vzdušný hrozen.</w:t>
      </w:r>
      <w:r w:rsidR="006149AF">
        <w:t xml:space="preserve"> Cabernet Sauvignon připomíná i tmavě červené harmonické víno.</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2736"/>
        <w:gridCol w:w="3506"/>
      </w:tblGrid>
      <w:tr w:rsidR="006149AF" w:rsidTr="005045E0">
        <w:tc>
          <w:tcPr>
            <w:tcW w:w="3070" w:type="dxa"/>
            <w:vAlign w:val="center"/>
          </w:tcPr>
          <w:p w:rsidR="006149AF" w:rsidRDefault="00F91C0D" w:rsidP="005045E0">
            <w:pPr>
              <w:jc w:val="center"/>
            </w:pPr>
            <w:r>
              <w:rPr>
                <w:noProof/>
                <w:lang w:eastAsia="cs-CZ"/>
              </w:rPr>
              <w:lastRenderedPageBreak/>
              <w:drawing>
                <wp:inline distT="0" distB="0" distL="0" distR="0" wp14:anchorId="6813E504" wp14:editId="5E45B8F9">
                  <wp:extent cx="1819021" cy="1819021"/>
                  <wp:effectExtent l="0" t="0" r="0" b="0"/>
                  <wp:docPr id="9" name="obrázek 2" descr="VB 91-26-29 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 91-26-29 star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010" cy="1819010"/>
                          </a:xfrm>
                          <a:prstGeom prst="rect">
                            <a:avLst/>
                          </a:prstGeom>
                          <a:noFill/>
                          <a:ln>
                            <a:noFill/>
                          </a:ln>
                        </pic:spPr>
                      </pic:pic>
                    </a:graphicData>
                  </a:graphic>
                </wp:inline>
              </w:drawing>
            </w:r>
          </w:p>
        </w:tc>
        <w:tc>
          <w:tcPr>
            <w:tcW w:w="3071" w:type="dxa"/>
            <w:vAlign w:val="center"/>
          </w:tcPr>
          <w:p w:rsidR="006149AF" w:rsidRDefault="00F91C0D" w:rsidP="005045E0">
            <w:pPr>
              <w:jc w:val="center"/>
            </w:pPr>
            <w:r>
              <w:rPr>
                <w:noProof/>
                <w:lang w:eastAsia="cs-CZ"/>
              </w:rPr>
              <w:drawing>
                <wp:inline distT="0" distB="0" distL="0" distR="0" wp14:anchorId="33D5FF3A" wp14:editId="33AD1496">
                  <wp:extent cx="1616145" cy="1212681"/>
                  <wp:effectExtent l="0" t="0" r="3175" b="6985"/>
                  <wp:docPr id="10" name="obrázek 5" descr="http://www.rebschule-freytag.de/files/simpler/images/freytag_content/rebsortiment/neue%20sorten/vb_91-26-29/VB%2029_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bschule-freytag.de/files/simpler/images/freytag_content/rebsortiment/neue%20sorten/vb_91-26-29/VB%2029_Blat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7552" cy="1213737"/>
                          </a:xfrm>
                          <a:prstGeom prst="rect">
                            <a:avLst/>
                          </a:prstGeom>
                          <a:noFill/>
                          <a:ln>
                            <a:noFill/>
                          </a:ln>
                        </pic:spPr>
                      </pic:pic>
                    </a:graphicData>
                  </a:graphic>
                </wp:inline>
              </w:drawing>
            </w:r>
          </w:p>
        </w:tc>
        <w:tc>
          <w:tcPr>
            <w:tcW w:w="3071" w:type="dxa"/>
            <w:vAlign w:val="center"/>
          </w:tcPr>
          <w:p w:rsidR="006149AF" w:rsidRDefault="00F91C0D" w:rsidP="005045E0">
            <w:pPr>
              <w:jc w:val="center"/>
            </w:pPr>
            <w:r>
              <w:rPr>
                <w:noProof/>
                <w:lang w:eastAsia="cs-CZ"/>
              </w:rPr>
              <w:drawing>
                <wp:inline distT="0" distB="0" distL="0" distR="0" wp14:anchorId="11FB8108" wp14:editId="7891CEC5">
                  <wp:extent cx="2111414" cy="1584308"/>
                  <wp:effectExtent l="0" t="0" r="3175" b="0"/>
                  <wp:docPr id="11" name="obrázek 6" descr="http://www.rebschule-freytag.de/files/simpler/images/freytag_content/rebsortiment/neue%20sorten/vb_91-26-29/VB%2029_Reb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bschule-freytag.de/files/simpler/images/freytag_content/rebsortiment/neue%20sorten/vb_91-26-29/VB%2029_Rebzei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6487" cy="1588114"/>
                          </a:xfrm>
                          <a:prstGeom prst="rect">
                            <a:avLst/>
                          </a:prstGeom>
                          <a:noFill/>
                          <a:ln>
                            <a:noFill/>
                          </a:ln>
                        </pic:spPr>
                      </pic:pic>
                    </a:graphicData>
                  </a:graphic>
                </wp:inline>
              </w:drawing>
            </w:r>
          </w:p>
        </w:tc>
      </w:tr>
    </w:tbl>
    <w:p w:rsidR="006149AF" w:rsidRDefault="006149AF" w:rsidP="000A1531">
      <w:pPr>
        <w:jc w:val="both"/>
      </w:pPr>
    </w:p>
    <w:p w:rsidR="007671B2" w:rsidRDefault="005045E0" w:rsidP="000A1531">
      <w:pPr>
        <w:jc w:val="both"/>
      </w:pPr>
      <w:r>
        <w:t>Hrozen je krátký, vzdušný a málo větvený. Bobule je modrá, kulatá a má přibližně stejnou velikost jako Cabernet Sauvignon. Slupka je pevná a tím odolává plísni šedé.</w:t>
      </w:r>
    </w:p>
    <w:p w:rsidR="005045E0" w:rsidRDefault="005045E0" w:rsidP="007671B2">
      <w:pPr>
        <w:jc w:val="both"/>
      </w:pPr>
      <w:r>
        <w:t>Odolnost vůči plísni šedé je střední, proti plísni révy a padlí révy je vysoká.</w:t>
      </w:r>
    </w:p>
    <w:p w:rsidR="005045E0" w:rsidRDefault="00E85909" w:rsidP="007671B2">
      <w:pPr>
        <w:jc w:val="both"/>
      </w:pPr>
      <w:r>
        <w:t>Víno je husté s tmavě červenou barvou. V chuti připomíná ostružiny a rybíz, černý pepř, čokoládu nebo velmi vyzrálý Cabernet franc.</w:t>
      </w:r>
    </w:p>
    <w:p w:rsidR="00E85909" w:rsidRDefault="00E85909" w:rsidP="007671B2">
      <w:pPr>
        <w:jc w:val="both"/>
      </w:pPr>
      <w:r>
        <w:t>Roste velmi vzpřímeně, což usnadňuje pěstiteli práci a tím spoří náklady. Vytváří velmi vzdušnou stěnu, která nepotřebuje odlisťovat zónu hroznů. Dozrává asi 10 až 14 dnů před Cabernetem Sauvignon. Díky zvýšené odolnosti vůči plísni šedé lze sklizeň odložit na pozdější dobu.</w:t>
      </w:r>
    </w:p>
    <w:p w:rsidR="009739C9" w:rsidRDefault="009739C9" w:rsidP="007671B2">
      <w:pPr>
        <w:jc w:val="both"/>
      </w:pPr>
    </w:p>
    <w:p w:rsidR="00EE48C4" w:rsidRPr="00EE48C4" w:rsidRDefault="00EE48C4" w:rsidP="00EE48C4">
      <w:pPr>
        <w:jc w:val="both"/>
        <w:rPr>
          <w:b/>
        </w:rPr>
      </w:pPr>
      <w:r w:rsidRPr="00EE48C4">
        <w:rPr>
          <w:b/>
        </w:rPr>
        <w:t>VB CAL. 6-04</w:t>
      </w:r>
    </w:p>
    <w:p w:rsidR="00A15D7B" w:rsidRDefault="00A15D7B" w:rsidP="00EE48C4">
      <w:pPr>
        <w:jc w:val="both"/>
      </w:pPr>
      <w:r>
        <w:t xml:space="preserve">Odrůda Valentina </w:t>
      </w:r>
      <w:proofErr w:type="spellStart"/>
      <w:r>
        <w:t>Blattnera</w:t>
      </w:r>
      <w:proofErr w:type="spellEnd"/>
      <w:r>
        <w:t xml:space="preserve"> z nové série „</w:t>
      </w:r>
      <w:proofErr w:type="spellStart"/>
      <w:r>
        <w:t>Cal</w:t>
      </w:r>
      <w:proofErr w:type="spellEnd"/>
      <w:r>
        <w:t>.“ pochází z křížení Sauvignonu blanc, Ryzlinku rýnského a donora rezistence. Patří k nejnovější generaci</w:t>
      </w:r>
      <w:r w:rsidR="00E03311">
        <w:t xml:space="preserve"> PIWI odrůd, které mají jednak vysokou odolnost vůči houbovým chorobám, ale také komplexní </w:t>
      </w:r>
      <w:proofErr w:type="spellStart"/>
      <w:r w:rsidR="00E03311">
        <w:t>aromatiku</w:t>
      </w:r>
      <w:proofErr w:type="spellEnd"/>
      <w:r w:rsidR="00E03311">
        <w:t xml:space="preserve"> evropských odrůd. Víno této odrůdy se podobá podle polohy výsadby, vyzrálosti a způsobu zpracování na Ryzlink rýnský </w:t>
      </w:r>
      <w:r w:rsidR="008C6A35">
        <w:t>a může mít až náznaky tramínového aroma. V současnosti probíhají její registrační zkoušky.</w:t>
      </w:r>
      <w:r w:rsidR="008521E3">
        <w:t xml:space="preserve"> Od roku 2014 je právně chráněná.</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6062"/>
      </w:tblGrid>
      <w:tr w:rsidR="00EE48C4" w:rsidTr="008C6A35">
        <w:tc>
          <w:tcPr>
            <w:tcW w:w="3226" w:type="dxa"/>
            <w:vAlign w:val="center"/>
          </w:tcPr>
          <w:p w:rsidR="00EE48C4" w:rsidRDefault="00EE48C4" w:rsidP="000F46B9">
            <w:pPr>
              <w:jc w:val="center"/>
            </w:pPr>
            <w:r>
              <w:rPr>
                <w:noProof/>
                <w:lang w:eastAsia="cs-CZ"/>
              </w:rPr>
              <w:lastRenderedPageBreak/>
              <w:drawing>
                <wp:inline distT="0" distB="0" distL="0" distR="0" wp14:anchorId="04D3DBB4" wp14:editId="4EA042C2">
                  <wp:extent cx="1941682" cy="2914345"/>
                  <wp:effectExtent l="0" t="0" r="1905" b="635"/>
                  <wp:docPr id="12" name="obrázek 8" descr="http://www.rebschule-freytag.de/files/simpler/images/freytag_content/rebsortiment/neue%20sorten/vb_cal-6-04/VB%20Cal%206-04%20st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bschule-freytag.de/files/simpler/images/freytag_content/rebsortiment/neue%20sorten/vb_cal-6-04/VB%20Cal%206-04%20star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6204" cy="2921132"/>
                          </a:xfrm>
                          <a:prstGeom prst="rect">
                            <a:avLst/>
                          </a:prstGeom>
                          <a:noFill/>
                          <a:ln>
                            <a:noFill/>
                          </a:ln>
                        </pic:spPr>
                      </pic:pic>
                    </a:graphicData>
                  </a:graphic>
                </wp:inline>
              </w:drawing>
            </w:r>
          </w:p>
        </w:tc>
        <w:tc>
          <w:tcPr>
            <w:tcW w:w="6062" w:type="dxa"/>
            <w:vAlign w:val="center"/>
          </w:tcPr>
          <w:p w:rsidR="00EE48C4" w:rsidRDefault="00EE48C4" w:rsidP="000F46B9">
            <w:pPr>
              <w:jc w:val="center"/>
            </w:pPr>
            <w:r>
              <w:rPr>
                <w:noProof/>
                <w:lang w:eastAsia="cs-CZ"/>
              </w:rPr>
              <w:drawing>
                <wp:inline distT="0" distB="0" distL="0" distR="0" wp14:anchorId="752DF96B" wp14:editId="7FC6821E">
                  <wp:extent cx="3773173" cy="2831217"/>
                  <wp:effectExtent l="0" t="0" r="0" b="7620"/>
                  <wp:docPr id="13" name="obrázek 10" descr="http://www.rebschule-freytag.de/files/simpler/images/freytag_content/rebsortiment/neue%20sorten/vb_cal-6-04/Cal%206-04_Reb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bschule-freytag.de/files/simpler/images/freytag_content/rebsortiment/neue%20sorten/vb_cal-6-04/Cal%206-04_Rebzei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5491" cy="2832956"/>
                          </a:xfrm>
                          <a:prstGeom prst="rect">
                            <a:avLst/>
                          </a:prstGeom>
                          <a:noFill/>
                          <a:ln>
                            <a:noFill/>
                          </a:ln>
                        </pic:spPr>
                      </pic:pic>
                    </a:graphicData>
                  </a:graphic>
                </wp:inline>
              </w:drawing>
            </w:r>
          </w:p>
        </w:tc>
      </w:tr>
    </w:tbl>
    <w:p w:rsidR="00EE48C4" w:rsidRDefault="00EE48C4" w:rsidP="00EE48C4">
      <w:pPr>
        <w:jc w:val="both"/>
      </w:pPr>
    </w:p>
    <w:p w:rsidR="00EE48C4" w:rsidRDefault="008C6A35" w:rsidP="00EE48C4">
      <w:pPr>
        <w:jc w:val="both"/>
      </w:pPr>
      <w:r>
        <w:t xml:space="preserve">Hrozen je </w:t>
      </w:r>
      <w:r w:rsidR="007D2E63">
        <w:t xml:space="preserve">vzdušný, </w:t>
      </w:r>
      <w:r>
        <w:t>velikostí srovnatelný s Ryzlinkem rýnským. Středně velké kulaté bobule jsou díky tlustší slupce odolné vůči plísni šedé. Plná zralost se projevuje narůžovělým zabarvením.</w:t>
      </w:r>
    </w:p>
    <w:p w:rsidR="007D2E63" w:rsidRDefault="007D2E63" w:rsidP="00EE48C4">
      <w:pPr>
        <w:jc w:val="both"/>
      </w:pPr>
      <w:r>
        <w:t>Odolnost vůči plísni révy, padlí révy i plísni šedé je vysoká. Během vegetace by měla postačovat 2 ošetření.</w:t>
      </w:r>
      <w:r w:rsidR="00FC4012">
        <w:t xml:space="preserve"> Mrazuvzdornost je vysoká.</w:t>
      </w:r>
    </w:p>
    <w:p w:rsidR="00EE48C4" w:rsidRDefault="007D2E63" w:rsidP="00EE48C4">
      <w:pPr>
        <w:jc w:val="both"/>
      </w:pPr>
      <w:r>
        <w:t>Víno i v závislosti na požitém kmenu kvasinek</w:t>
      </w:r>
      <w:r w:rsidR="00FC4012">
        <w:t xml:space="preserve"> se podobá Ryzlinku rýnskému s aromatem po meruňkách, zralých jablcích nebo citronech s nádechem černého rybízu. Typická je stabilní kyselinka, která zůstává jak v hroznech na keři, tak při zrání na láhvi. Proto se případně doporučuje jablečno-mléčná fermentace. </w:t>
      </w:r>
    </w:p>
    <w:p w:rsidR="00FC4012" w:rsidRDefault="00FC4012" w:rsidP="00EE48C4">
      <w:pPr>
        <w:jc w:val="both"/>
      </w:pPr>
      <w:r>
        <w:t xml:space="preserve">Růst je střední až silný, obdobně jako u Ryzlinku rýnského, včetně dobrého vyzrávání dřeva a mrazuvzdornosti. Dozrává asi 10 dnů před Ryzlinkem rýnským. </w:t>
      </w:r>
      <w:r w:rsidR="008A69B9">
        <w:t xml:space="preserve">Díky stabilitě kyselin a pevnější slupce bobulí se může sklízet až koncem října. Při asi 23 </w:t>
      </w:r>
      <w:r w:rsidR="008A69B9">
        <w:rPr>
          <w:vertAlign w:val="superscript"/>
        </w:rPr>
        <w:t>o</w:t>
      </w:r>
      <w:r w:rsidR="008A69B9">
        <w:t>NM může dojít k rovnoměrné infekci slupky bobulí ušlechtilou plísní šedou, aniž by bobule praskaly.</w:t>
      </w:r>
    </w:p>
    <w:p w:rsidR="008A69B9" w:rsidRDefault="008A69B9" w:rsidP="00EE48C4">
      <w:pPr>
        <w:jc w:val="both"/>
      </w:pPr>
    </w:p>
    <w:p w:rsidR="008A69B9" w:rsidRDefault="008A69B9" w:rsidP="00EE48C4">
      <w:pPr>
        <w:jc w:val="both"/>
      </w:pPr>
    </w:p>
    <w:p w:rsidR="00C36D7F" w:rsidRPr="00DA39E2" w:rsidRDefault="003E6817" w:rsidP="00C36D7F">
      <w:pPr>
        <w:jc w:val="both"/>
        <w:rPr>
          <w:b/>
        </w:rPr>
      </w:pPr>
      <w:proofErr w:type="spellStart"/>
      <w:r w:rsidRPr="00DA39E2">
        <w:rPr>
          <w:b/>
        </w:rPr>
        <w:t>Sauvignon</w:t>
      </w:r>
      <w:proofErr w:type="spellEnd"/>
      <w:r w:rsidRPr="00DA39E2">
        <w:rPr>
          <w:b/>
        </w:rPr>
        <w:t xml:space="preserve"> </w:t>
      </w:r>
      <w:proofErr w:type="spellStart"/>
      <w:r w:rsidRPr="00DA39E2">
        <w:rPr>
          <w:b/>
        </w:rPr>
        <w:t>Soyhiéres</w:t>
      </w:r>
      <w:proofErr w:type="spellEnd"/>
      <w:r w:rsidRPr="00DA39E2">
        <w:rPr>
          <w:b/>
        </w:rPr>
        <w:t xml:space="preserve"> (</w:t>
      </w:r>
      <w:r w:rsidR="00C36D7F" w:rsidRPr="00DA39E2">
        <w:rPr>
          <w:b/>
        </w:rPr>
        <w:t>VB 32-7</w:t>
      </w:r>
      <w:r w:rsidRPr="00DA39E2">
        <w:rPr>
          <w:b/>
        </w:rPr>
        <w:t>)</w:t>
      </w:r>
    </w:p>
    <w:p w:rsidR="001851FC" w:rsidRPr="005B1CE0" w:rsidRDefault="001851FC" w:rsidP="00C36D7F">
      <w:pPr>
        <w:jc w:val="both"/>
      </w:pPr>
      <w:r>
        <w:t xml:space="preserve">Odrůdu vyšlechtil v roce 1990 Švýcar Valentin </w:t>
      </w:r>
      <w:proofErr w:type="spellStart"/>
      <w:r>
        <w:t>Blattner</w:t>
      </w:r>
      <w:proofErr w:type="spellEnd"/>
      <w:r>
        <w:t xml:space="preserve"> křížením odrůdy Cabernet Sauvignon s asijským druhem </w:t>
      </w:r>
      <w:r>
        <w:rPr>
          <w:i/>
        </w:rPr>
        <w:t xml:space="preserve">Vitis amurensis. </w:t>
      </w:r>
      <w:r w:rsidR="004F679E">
        <w:t xml:space="preserve">V roce 2002 za to získal národní švýcarskou cenu za inovace. </w:t>
      </w:r>
      <w:r w:rsidR="005B1CE0">
        <w:t>Slupka bobule je stejně jako u rodičovské odrůdy velmi pevná a tudíž odolná proti plísni šedé. Amurská réva přinesla odrůdě vysokou odolnost proti houbovým chorobám a mrazuvzdornost.</w:t>
      </w:r>
    </w:p>
    <w:p w:rsidR="005B1CE0" w:rsidRDefault="00C561BB" w:rsidP="00C561BB">
      <w:pPr>
        <w:jc w:val="center"/>
      </w:pPr>
      <w:r>
        <w:rPr>
          <w:noProof/>
          <w:lang w:eastAsia="cs-CZ"/>
        </w:rPr>
        <w:lastRenderedPageBreak/>
        <w:drawing>
          <wp:inline distT="0" distB="0" distL="0" distR="0">
            <wp:extent cx="2131971" cy="3199956"/>
            <wp:effectExtent l="0" t="0" r="1905" b="635"/>
            <wp:docPr id="17" name="Obrázek 17" descr="http://www.rebschule-freytag.de/files/simpler/images/freytag_content/rebsortiment/neue%20sorten/vb_32-7/VB%2032-7%20st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bschule-freytag.de/files/simpler/images/freytag_content/rebsortiment/neue%20sorten/vb_32-7/VB%2032-7%20star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047" cy="3203072"/>
                    </a:xfrm>
                    <a:prstGeom prst="rect">
                      <a:avLst/>
                    </a:prstGeom>
                    <a:noFill/>
                    <a:ln>
                      <a:noFill/>
                    </a:ln>
                  </pic:spPr>
                </pic:pic>
              </a:graphicData>
            </a:graphic>
          </wp:inline>
        </w:drawing>
      </w:r>
    </w:p>
    <w:p w:rsidR="00C561BB" w:rsidRDefault="00C561BB" w:rsidP="00C36D7F">
      <w:pPr>
        <w:jc w:val="both"/>
      </w:pPr>
    </w:p>
    <w:p w:rsidR="00C561BB" w:rsidRDefault="00C561BB" w:rsidP="00C36D7F">
      <w:pPr>
        <w:jc w:val="both"/>
      </w:pPr>
      <w:r>
        <w:t>Hrozen je malý, vzdušný, mírně větvený. Bobule jsou kulaté, malé a potažené voskovou vrstvou. V plné zralosti se zbarvují do zlatohněda.</w:t>
      </w:r>
    </w:p>
    <w:p w:rsidR="00C561BB" w:rsidRDefault="00C561BB" w:rsidP="00C36D7F">
      <w:pPr>
        <w:jc w:val="both"/>
      </w:pPr>
      <w:r>
        <w:t>Odolnost proti padlí révy, plísni révy i plísni šedé je vysoká, stejně tak mrazuvzdornost.</w:t>
      </w:r>
    </w:p>
    <w:p w:rsidR="00235A14" w:rsidRDefault="00235A14" w:rsidP="00C36D7F">
      <w:pPr>
        <w:jc w:val="both"/>
      </w:pPr>
      <w:proofErr w:type="spellStart"/>
      <w:r>
        <w:t>Aromatikou</w:t>
      </w:r>
      <w:proofErr w:type="spellEnd"/>
      <w:r>
        <w:t xml:space="preserve"> připomíná víno elegantní variantu okamžitě lisovaného </w:t>
      </w:r>
      <w:proofErr w:type="spellStart"/>
      <w:r>
        <w:t>kabernetu</w:t>
      </w:r>
      <w:proofErr w:type="spellEnd"/>
      <w:r w:rsidR="00EB7D61">
        <w:t xml:space="preserve"> nebo </w:t>
      </w:r>
      <w:proofErr w:type="spellStart"/>
      <w:r w:rsidR="00EB7D61">
        <w:t>Sauvignonu</w:t>
      </w:r>
      <w:proofErr w:type="spellEnd"/>
      <w:r w:rsidR="00EB7D61">
        <w:t xml:space="preserve"> </w:t>
      </w:r>
      <w:proofErr w:type="spellStart"/>
      <w:r w:rsidR="00EB7D61">
        <w:t>blanc</w:t>
      </w:r>
      <w:proofErr w:type="spellEnd"/>
      <w:r>
        <w:t>. Ve vůni je patrná červená paprika, různé koření, mučenk</w:t>
      </w:r>
      <w:r w:rsidR="004F679E">
        <w:t>a</w:t>
      </w:r>
      <w:r>
        <w:t xml:space="preserve"> až květ černého bezu. </w:t>
      </w:r>
    </w:p>
    <w:p w:rsidR="00235A14" w:rsidRPr="00EB796D" w:rsidRDefault="00EB796D" w:rsidP="00C36D7F">
      <w:pPr>
        <w:jc w:val="both"/>
      </w:pPr>
      <w:r>
        <w:t xml:space="preserve">Růst je silný, letorosty mají tendenci růst směrem dolů, proto je odrůda vhodná spíše pro vedení typu záclona. Vzhledem k hustotě porostu je při běžném rýnsko-hesenském vedení nutné částečné odlistění zóny hroznů. Výnos je nižší, kolem 5 až 6 t/ha. </w:t>
      </w:r>
      <w:proofErr w:type="spellStart"/>
      <w:r w:rsidRPr="00EB796D">
        <w:t>Sauvignon</w:t>
      </w:r>
      <w:proofErr w:type="spellEnd"/>
      <w:r w:rsidRPr="00EB796D">
        <w:t xml:space="preserve"> </w:t>
      </w:r>
      <w:proofErr w:type="spellStart"/>
      <w:r w:rsidRPr="00EB796D">
        <w:t>Soyhiéres</w:t>
      </w:r>
      <w:proofErr w:type="spellEnd"/>
      <w:r>
        <w:t xml:space="preserve"> dozrává asi jako Müller Thurgau</w:t>
      </w:r>
      <w:r w:rsidR="00332CC0">
        <w:t>, ale díky pevné slupce bobulí je možné přezrávání bez</w:t>
      </w:r>
      <w:r>
        <w:t xml:space="preserve"> </w:t>
      </w:r>
      <w:r w:rsidR="00332CC0">
        <w:t>poškození plísní šedou. Ranost odrůdy spolu s vysokou mrazuvzdorností ji předurčují pro pěstování v severních vinařských oblastech.</w:t>
      </w:r>
    </w:p>
    <w:p w:rsidR="00C168D9" w:rsidRDefault="00C168D9" w:rsidP="00EE48C4">
      <w:pPr>
        <w:jc w:val="both"/>
      </w:pPr>
    </w:p>
    <w:p w:rsidR="00C168D9" w:rsidRPr="00332CC0" w:rsidRDefault="00332CC0" w:rsidP="00C168D9">
      <w:pPr>
        <w:jc w:val="both"/>
        <w:rPr>
          <w:b/>
        </w:rPr>
      </w:pPr>
      <w:proofErr w:type="spellStart"/>
      <w:r w:rsidRPr="00332CC0">
        <w:rPr>
          <w:b/>
        </w:rPr>
        <w:t>Cabaret</w:t>
      </w:r>
      <w:proofErr w:type="spellEnd"/>
      <w:r w:rsidRPr="00332CC0">
        <w:rPr>
          <w:b/>
        </w:rPr>
        <w:t xml:space="preserve"> </w:t>
      </w:r>
      <w:proofErr w:type="spellStart"/>
      <w:r w:rsidRPr="00332CC0">
        <w:rPr>
          <w:b/>
        </w:rPr>
        <w:t>Noir</w:t>
      </w:r>
      <w:proofErr w:type="spellEnd"/>
      <w:r w:rsidRPr="00332CC0">
        <w:rPr>
          <w:b/>
        </w:rPr>
        <w:t xml:space="preserve"> </w:t>
      </w:r>
      <w:r>
        <w:rPr>
          <w:b/>
        </w:rPr>
        <w:t>(</w:t>
      </w:r>
      <w:r w:rsidR="00C36D7F" w:rsidRPr="00332CC0">
        <w:rPr>
          <w:b/>
        </w:rPr>
        <w:t>VB 91-26-4)</w:t>
      </w:r>
    </w:p>
    <w:p w:rsidR="00332CC0" w:rsidRDefault="00332CC0" w:rsidP="00C168D9">
      <w:pPr>
        <w:jc w:val="both"/>
      </w:pPr>
      <w:r>
        <w:t xml:space="preserve">Odrůda Valentina </w:t>
      </w:r>
      <w:proofErr w:type="spellStart"/>
      <w:r>
        <w:t>Blattnera</w:t>
      </w:r>
      <w:proofErr w:type="spellEnd"/>
      <w:r>
        <w:t xml:space="preserve"> pochází z křížení Cabernetu Sauvignon s donorem rezistence.</w:t>
      </w:r>
      <w:r w:rsidRPr="00332CC0">
        <w:t xml:space="preserve"> </w:t>
      </w:r>
      <w:r>
        <w:t xml:space="preserve">Je právně chráněna od roku 2011. Původní název měl být Cabernet Noir, což úřady neprošlo, proto byl Cabernet zaměněn na </w:t>
      </w:r>
      <w:proofErr w:type="spellStart"/>
      <w:r>
        <w:t>Cabaret</w:t>
      </w:r>
      <w:proofErr w:type="spellEnd"/>
      <w: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2323"/>
        <w:gridCol w:w="4142"/>
      </w:tblGrid>
      <w:tr w:rsidR="00C36D7F" w:rsidTr="00332CC0">
        <w:tc>
          <w:tcPr>
            <w:tcW w:w="2823" w:type="dxa"/>
            <w:vAlign w:val="center"/>
          </w:tcPr>
          <w:p w:rsidR="00C36D7F" w:rsidRDefault="00C36D7F" w:rsidP="00C36D7F">
            <w:pPr>
              <w:jc w:val="center"/>
            </w:pPr>
            <w:r>
              <w:rPr>
                <w:noProof/>
                <w:lang w:eastAsia="cs-CZ"/>
              </w:rPr>
              <w:lastRenderedPageBreak/>
              <w:drawing>
                <wp:inline distT="0" distB="0" distL="0" distR="0" wp14:anchorId="791DFE52" wp14:editId="0EB28B59">
                  <wp:extent cx="1657656" cy="1657656"/>
                  <wp:effectExtent l="0" t="0" r="0" b="0"/>
                  <wp:docPr id="14" name="obrázek 2" descr="Cabernet noir 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rnet noir star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647" cy="1657647"/>
                          </a:xfrm>
                          <a:prstGeom prst="rect">
                            <a:avLst/>
                          </a:prstGeom>
                          <a:noFill/>
                          <a:ln>
                            <a:noFill/>
                          </a:ln>
                        </pic:spPr>
                      </pic:pic>
                    </a:graphicData>
                  </a:graphic>
                </wp:inline>
              </w:drawing>
            </w:r>
          </w:p>
        </w:tc>
        <w:tc>
          <w:tcPr>
            <w:tcW w:w="2323" w:type="dxa"/>
            <w:vAlign w:val="center"/>
          </w:tcPr>
          <w:p w:rsidR="00C36D7F" w:rsidRDefault="00C36D7F" w:rsidP="00C36D7F">
            <w:pPr>
              <w:jc w:val="center"/>
            </w:pPr>
            <w:r>
              <w:rPr>
                <w:noProof/>
                <w:lang w:eastAsia="cs-CZ"/>
              </w:rPr>
              <w:drawing>
                <wp:inline distT="0" distB="0" distL="0" distR="0" wp14:anchorId="72989D09" wp14:editId="63CD5BF4">
                  <wp:extent cx="1339816" cy="1335899"/>
                  <wp:effectExtent l="0" t="0" r="0" b="0"/>
                  <wp:docPr id="15" name="obrázek 3" descr="Cab Noir 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 Noir Blat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0956" cy="1337036"/>
                          </a:xfrm>
                          <a:prstGeom prst="rect">
                            <a:avLst/>
                          </a:prstGeom>
                          <a:noFill/>
                          <a:ln>
                            <a:noFill/>
                          </a:ln>
                        </pic:spPr>
                      </pic:pic>
                    </a:graphicData>
                  </a:graphic>
                </wp:inline>
              </w:drawing>
            </w:r>
          </w:p>
        </w:tc>
        <w:tc>
          <w:tcPr>
            <w:tcW w:w="4142" w:type="dxa"/>
            <w:vAlign w:val="center"/>
          </w:tcPr>
          <w:p w:rsidR="00C36D7F" w:rsidRDefault="00C36D7F" w:rsidP="00C36D7F">
            <w:pPr>
              <w:jc w:val="center"/>
            </w:pPr>
            <w:r>
              <w:rPr>
                <w:noProof/>
                <w:lang w:eastAsia="cs-CZ"/>
              </w:rPr>
              <w:drawing>
                <wp:inline distT="0" distB="0" distL="0" distR="0" wp14:anchorId="584D78E1" wp14:editId="2F233664">
                  <wp:extent cx="2493818" cy="1871248"/>
                  <wp:effectExtent l="0" t="0" r="1905" b="0"/>
                  <wp:docPr id="16" name="obrázek 5" descr="http://www.rebschule-freytag.de/files/simpler/images/freytag_content/rebsortiment/neue%20sorten/cabernet%20noir/Cabernet%20Noir_Reb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bschule-freytag.de/files/simpler/images/freytag_content/rebsortiment/neue%20sorten/cabernet%20noir/Cabernet%20Noir_Rebzei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6782" cy="1873472"/>
                          </a:xfrm>
                          <a:prstGeom prst="rect">
                            <a:avLst/>
                          </a:prstGeom>
                          <a:noFill/>
                          <a:ln>
                            <a:noFill/>
                          </a:ln>
                        </pic:spPr>
                      </pic:pic>
                    </a:graphicData>
                  </a:graphic>
                </wp:inline>
              </w:drawing>
            </w:r>
          </w:p>
        </w:tc>
      </w:tr>
    </w:tbl>
    <w:p w:rsidR="00C36D7F" w:rsidRDefault="00C36D7F" w:rsidP="00C168D9">
      <w:pPr>
        <w:jc w:val="both"/>
      </w:pPr>
    </w:p>
    <w:p w:rsidR="00455CE5" w:rsidRDefault="00455CE5" w:rsidP="00C168D9">
      <w:pPr>
        <w:jc w:val="both"/>
      </w:pPr>
      <w:r>
        <w:t>Hrozen je krátký, řidší, krátce větvený. Bobule jsou kulaté, modré, potažené rovnoměrnou voskovou vrstvou.</w:t>
      </w:r>
    </w:p>
    <w:p w:rsidR="00C168D9" w:rsidRDefault="008037C0" w:rsidP="00C168D9">
      <w:pPr>
        <w:jc w:val="both"/>
      </w:pPr>
      <w:r>
        <w:t>Odolnost proti plísni révy je střední, vůči padlí révy i plísni šedé je vysoká.</w:t>
      </w:r>
      <w:r w:rsidR="005A2293">
        <w:t xml:space="preserve"> Přesto dvě až tři ošetření jsou v případě Švýcarska (cca 1000 mm ročních srážek) vhodná: před květem, po odkvětu a při uzavírání hroznů.</w:t>
      </w:r>
    </w:p>
    <w:p w:rsidR="00C168D9" w:rsidRDefault="008037C0" w:rsidP="00C168D9">
      <w:pPr>
        <w:jc w:val="both"/>
      </w:pPr>
      <w:r>
        <w:t xml:space="preserve">Víno </w:t>
      </w:r>
      <w:r w:rsidR="005A2293">
        <w:t xml:space="preserve">tmavě červené barvy </w:t>
      </w:r>
      <w:r>
        <w:t xml:space="preserve">má aroma podobné Cabernetu Sauvignon s nádechem zralých třešní, bobulí jalovce a květu fialky. </w:t>
      </w:r>
      <w:r w:rsidR="002C1E23">
        <w:t xml:space="preserve">V chuti připomíná skořici a pepř. Zralé taniny zakulacují chuť. </w:t>
      </w:r>
      <w:r w:rsidR="005A2293">
        <w:t>Je třeba dbát na obsah kyselin, kterých má málo, a nepřipustit proto jejich biologické odbourávání.</w:t>
      </w:r>
    </w:p>
    <w:p w:rsidR="00C168D9" w:rsidRDefault="005A2293" w:rsidP="00C168D9">
      <w:pPr>
        <w:jc w:val="both"/>
      </w:pPr>
      <w:r>
        <w:t>Zrání je rané</w:t>
      </w:r>
      <w:r w:rsidR="004F679E">
        <w:t>, během září. Cabernet Noir je tudíž vhodný pro pozdější polohy nebo severní vinařské regiony. Lze využít i pozdější sklizně, které umožňuje pevnější slupka bobule, aniž by došlo k infekci plísní šedou. Růst je středně silný a vzpřímený, částečné odlistění zóny hroznů není nutné, stejně tak regulace výnosu.</w:t>
      </w:r>
    </w:p>
    <w:sectPr w:rsidR="00C168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C0961"/>
    <w:multiLevelType w:val="multilevel"/>
    <w:tmpl w:val="FB42C30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lang w:val="cs-CZ"/>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6ECD0C6B"/>
    <w:multiLevelType w:val="hybridMultilevel"/>
    <w:tmpl w:val="3BF822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497"/>
    <w:rsid w:val="00000161"/>
    <w:rsid w:val="000008B1"/>
    <w:rsid w:val="00003E22"/>
    <w:rsid w:val="00013065"/>
    <w:rsid w:val="0001701D"/>
    <w:rsid w:val="00022D8B"/>
    <w:rsid w:val="000236A0"/>
    <w:rsid w:val="00027C82"/>
    <w:rsid w:val="00030333"/>
    <w:rsid w:val="00033854"/>
    <w:rsid w:val="00033983"/>
    <w:rsid w:val="00035B82"/>
    <w:rsid w:val="00040070"/>
    <w:rsid w:val="000425B0"/>
    <w:rsid w:val="00043450"/>
    <w:rsid w:val="00043BE7"/>
    <w:rsid w:val="000454D6"/>
    <w:rsid w:val="000474AC"/>
    <w:rsid w:val="000500A2"/>
    <w:rsid w:val="00053E23"/>
    <w:rsid w:val="000540E4"/>
    <w:rsid w:val="000573E1"/>
    <w:rsid w:val="0006005A"/>
    <w:rsid w:val="00060632"/>
    <w:rsid w:val="00060D7D"/>
    <w:rsid w:val="000650C9"/>
    <w:rsid w:val="00066B08"/>
    <w:rsid w:val="00072738"/>
    <w:rsid w:val="00072D6F"/>
    <w:rsid w:val="00074F4F"/>
    <w:rsid w:val="00076A40"/>
    <w:rsid w:val="00076D17"/>
    <w:rsid w:val="0008180B"/>
    <w:rsid w:val="0008282C"/>
    <w:rsid w:val="00083AE4"/>
    <w:rsid w:val="0008796A"/>
    <w:rsid w:val="00087C00"/>
    <w:rsid w:val="000911AA"/>
    <w:rsid w:val="0009144A"/>
    <w:rsid w:val="00091965"/>
    <w:rsid w:val="00093F61"/>
    <w:rsid w:val="000A0F12"/>
    <w:rsid w:val="000A1531"/>
    <w:rsid w:val="000A2BA4"/>
    <w:rsid w:val="000A3EED"/>
    <w:rsid w:val="000A470D"/>
    <w:rsid w:val="000A49C0"/>
    <w:rsid w:val="000A5DEB"/>
    <w:rsid w:val="000B011E"/>
    <w:rsid w:val="000B4183"/>
    <w:rsid w:val="000B6349"/>
    <w:rsid w:val="000B767D"/>
    <w:rsid w:val="000C3CE3"/>
    <w:rsid w:val="000C60D3"/>
    <w:rsid w:val="000C71FD"/>
    <w:rsid w:val="000D1395"/>
    <w:rsid w:val="000E1D44"/>
    <w:rsid w:val="000E23B3"/>
    <w:rsid w:val="000E6424"/>
    <w:rsid w:val="000F00D0"/>
    <w:rsid w:val="000F02E2"/>
    <w:rsid w:val="000F0A55"/>
    <w:rsid w:val="000F1F45"/>
    <w:rsid w:val="000F46B9"/>
    <w:rsid w:val="000F69C9"/>
    <w:rsid w:val="000F7A5B"/>
    <w:rsid w:val="00100099"/>
    <w:rsid w:val="00102715"/>
    <w:rsid w:val="00103921"/>
    <w:rsid w:val="00103C18"/>
    <w:rsid w:val="00103E11"/>
    <w:rsid w:val="001047B5"/>
    <w:rsid w:val="001066A7"/>
    <w:rsid w:val="00106B05"/>
    <w:rsid w:val="00117ADB"/>
    <w:rsid w:val="00121825"/>
    <w:rsid w:val="00123A95"/>
    <w:rsid w:val="0012430D"/>
    <w:rsid w:val="00124FCE"/>
    <w:rsid w:val="00125DC1"/>
    <w:rsid w:val="00126044"/>
    <w:rsid w:val="00130D65"/>
    <w:rsid w:val="00132234"/>
    <w:rsid w:val="001412F1"/>
    <w:rsid w:val="001427A5"/>
    <w:rsid w:val="0014476C"/>
    <w:rsid w:val="001452AC"/>
    <w:rsid w:val="00145402"/>
    <w:rsid w:val="00145FFD"/>
    <w:rsid w:val="001502E9"/>
    <w:rsid w:val="001566C7"/>
    <w:rsid w:val="00157408"/>
    <w:rsid w:val="00157D0D"/>
    <w:rsid w:val="001657FA"/>
    <w:rsid w:val="0016586E"/>
    <w:rsid w:val="00166440"/>
    <w:rsid w:val="00167BA9"/>
    <w:rsid w:val="00174590"/>
    <w:rsid w:val="00182CE6"/>
    <w:rsid w:val="001851FC"/>
    <w:rsid w:val="0019328F"/>
    <w:rsid w:val="00193EAB"/>
    <w:rsid w:val="00194A44"/>
    <w:rsid w:val="00197A89"/>
    <w:rsid w:val="001A06CE"/>
    <w:rsid w:val="001A189B"/>
    <w:rsid w:val="001A30A6"/>
    <w:rsid w:val="001A5179"/>
    <w:rsid w:val="001A77E5"/>
    <w:rsid w:val="001B1DD0"/>
    <w:rsid w:val="001B46A1"/>
    <w:rsid w:val="001B4DDF"/>
    <w:rsid w:val="001B5C5B"/>
    <w:rsid w:val="001C089A"/>
    <w:rsid w:val="001C093C"/>
    <w:rsid w:val="001C2B2B"/>
    <w:rsid w:val="001C332D"/>
    <w:rsid w:val="001C374A"/>
    <w:rsid w:val="001C506A"/>
    <w:rsid w:val="001C51B4"/>
    <w:rsid w:val="001C621E"/>
    <w:rsid w:val="001C7FBE"/>
    <w:rsid w:val="001D0817"/>
    <w:rsid w:val="001D180E"/>
    <w:rsid w:val="001D37BC"/>
    <w:rsid w:val="001D673E"/>
    <w:rsid w:val="001E3582"/>
    <w:rsid w:val="001E711D"/>
    <w:rsid w:val="001F2039"/>
    <w:rsid w:val="001F37CB"/>
    <w:rsid w:val="001F38DB"/>
    <w:rsid w:val="001F6E6C"/>
    <w:rsid w:val="001F7980"/>
    <w:rsid w:val="00205841"/>
    <w:rsid w:val="002067F2"/>
    <w:rsid w:val="0021178D"/>
    <w:rsid w:val="0021253F"/>
    <w:rsid w:val="00213BED"/>
    <w:rsid w:val="00216EB2"/>
    <w:rsid w:val="00216EF1"/>
    <w:rsid w:val="00220778"/>
    <w:rsid w:val="002212D1"/>
    <w:rsid w:val="0022146D"/>
    <w:rsid w:val="00223DC7"/>
    <w:rsid w:val="00223F7D"/>
    <w:rsid w:val="00224033"/>
    <w:rsid w:val="00226A13"/>
    <w:rsid w:val="002271D7"/>
    <w:rsid w:val="00231B9D"/>
    <w:rsid w:val="002331E8"/>
    <w:rsid w:val="00233260"/>
    <w:rsid w:val="00233356"/>
    <w:rsid w:val="00235A14"/>
    <w:rsid w:val="0023755F"/>
    <w:rsid w:val="00243E10"/>
    <w:rsid w:val="002454B4"/>
    <w:rsid w:val="0024759B"/>
    <w:rsid w:val="00247881"/>
    <w:rsid w:val="002478A3"/>
    <w:rsid w:val="00250A51"/>
    <w:rsid w:val="00251674"/>
    <w:rsid w:val="00252C62"/>
    <w:rsid w:val="002545FF"/>
    <w:rsid w:val="0025695A"/>
    <w:rsid w:val="00261C5B"/>
    <w:rsid w:val="00264D9A"/>
    <w:rsid w:val="00266AA3"/>
    <w:rsid w:val="0027230C"/>
    <w:rsid w:val="002747A6"/>
    <w:rsid w:val="00274E51"/>
    <w:rsid w:val="002754F8"/>
    <w:rsid w:val="002762E7"/>
    <w:rsid w:val="002764E2"/>
    <w:rsid w:val="00282F1E"/>
    <w:rsid w:val="002831F2"/>
    <w:rsid w:val="00283384"/>
    <w:rsid w:val="00283707"/>
    <w:rsid w:val="00283ED8"/>
    <w:rsid w:val="0028731C"/>
    <w:rsid w:val="002873BA"/>
    <w:rsid w:val="00290A33"/>
    <w:rsid w:val="00291AC2"/>
    <w:rsid w:val="002924AF"/>
    <w:rsid w:val="002975C8"/>
    <w:rsid w:val="002A15C3"/>
    <w:rsid w:val="002A16D0"/>
    <w:rsid w:val="002A5D40"/>
    <w:rsid w:val="002A6DD0"/>
    <w:rsid w:val="002B0929"/>
    <w:rsid w:val="002B2542"/>
    <w:rsid w:val="002B2636"/>
    <w:rsid w:val="002B281B"/>
    <w:rsid w:val="002B4F03"/>
    <w:rsid w:val="002B722B"/>
    <w:rsid w:val="002C1909"/>
    <w:rsid w:val="002C1E23"/>
    <w:rsid w:val="002C3432"/>
    <w:rsid w:val="002C403E"/>
    <w:rsid w:val="002D2D18"/>
    <w:rsid w:val="002D5268"/>
    <w:rsid w:val="002D687D"/>
    <w:rsid w:val="002E1085"/>
    <w:rsid w:val="002E510F"/>
    <w:rsid w:val="002F3572"/>
    <w:rsid w:val="002F3863"/>
    <w:rsid w:val="002F3E49"/>
    <w:rsid w:val="002F5C30"/>
    <w:rsid w:val="002F787F"/>
    <w:rsid w:val="00302683"/>
    <w:rsid w:val="00302D0F"/>
    <w:rsid w:val="00303784"/>
    <w:rsid w:val="00304499"/>
    <w:rsid w:val="00307E60"/>
    <w:rsid w:val="0031085F"/>
    <w:rsid w:val="00312568"/>
    <w:rsid w:val="00316891"/>
    <w:rsid w:val="00323C67"/>
    <w:rsid w:val="003242D4"/>
    <w:rsid w:val="003269D6"/>
    <w:rsid w:val="00330B16"/>
    <w:rsid w:val="00332CC0"/>
    <w:rsid w:val="0033375A"/>
    <w:rsid w:val="00340A41"/>
    <w:rsid w:val="00364BC3"/>
    <w:rsid w:val="00365087"/>
    <w:rsid w:val="00365B99"/>
    <w:rsid w:val="00376207"/>
    <w:rsid w:val="00376EE3"/>
    <w:rsid w:val="0037780B"/>
    <w:rsid w:val="00380913"/>
    <w:rsid w:val="00382DCB"/>
    <w:rsid w:val="00382DCD"/>
    <w:rsid w:val="00384053"/>
    <w:rsid w:val="00387B5C"/>
    <w:rsid w:val="00391227"/>
    <w:rsid w:val="00392C23"/>
    <w:rsid w:val="00393F5B"/>
    <w:rsid w:val="0039732C"/>
    <w:rsid w:val="003A0542"/>
    <w:rsid w:val="003A2E81"/>
    <w:rsid w:val="003A383D"/>
    <w:rsid w:val="003A400B"/>
    <w:rsid w:val="003A5A6F"/>
    <w:rsid w:val="003B1198"/>
    <w:rsid w:val="003B2E7E"/>
    <w:rsid w:val="003B7163"/>
    <w:rsid w:val="003C2222"/>
    <w:rsid w:val="003C4460"/>
    <w:rsid w:val="003C64C1"/>
    <w:rsid w:val="003D16EE"/>
    <w:rsid w:val="003D37FC"/>
    <w:rsid w:val="003D7BB8"/>
    <w:rsid w:val="003D7CD4"/>
    <w:rsid w:val="003E6817"/>
    <w:rsid w:val="003E687E"/>
    <w:rsid w:val="003E6D56"/>
    <w:rsid w:val="003E7E9F"/>
    <w:rsid w:val="003E7EDA"/>
    <w:rsid w:val="003F08D4"/>
    <w:rsid w:val="003F27E0"/>
    <w:rsid w:val="003F4837"/>
    <w:rsid w:val="003F580B"/>
    <w:rsid w:val="003F611E"/>
    <w:rsid w:val="003F6277"/>
    <w:rsid w:val="003F7228"/>
    <w:rsid w:val="00402838"/>
    <w:rsid w:val="00404619"/>
    <w:rsid w:val="00404A01"/>
    <w:rsid w:val="00412F1F"/>
    <w:rsid w:val="004136DF"/>
    <w:rsid w:val="004143FA"/>
    <w:rsid w:val="00415B26"/>
    <w:rsid w:val="00423217"/>
    <w:rsid w:val="004318D8"/>
    <w:rsid w:val="00432B6C"/>
    <w:rsid w:val="00432F8F"/>
    <w:rsid w:val="00437655"/>
    <w:rsid w:val="0044176B"/>
    <w:rsid w:val="00442074"/>
    <w:rsid w:val="004425D1"/>
    <w:rsid w:val="00444059"/>
    <w:rsid w:val="00446437"/>
    <w:rsid w:val="004465F9"/>
    <w:rsid w:val="00447366"/>
    <w:rsid w:val="0045183A"/>
    <w:rsid w:val="004520C6"/>
    <w:rsid w:val="0045225E"/>
    <w:rsid w:val="00454063"/>
    <w:rsid w:val="00455B4C"/>
    <w:rsid w:val="00455CE5"/>
    <w:rsid w:val="00460283"/>
    <w:rsid w:val="00460A52"/>
    <w:rsid w:val="00461A62"/>
    <w:rsid w:val="004620F3"/>
    <w:rsid w:val="00462990"/>
    <w:rsid w:val="0046512A"/>
    <w:rsid w:val="00465D54"/>
    <w:rsid w:val="00466A43"/>
    <w:rsid w:val="00467822"/>
    <w:rsid w:val="004710D7"/>
    <w:rsid w:val="004733F9"/>
    <w:rsid w:val="00475A40"/>
    <w:rsid w:val="0047744C"/>
    <w:rsid w:val="00481C4D"/>
    <w:rsid w:val="0048599C"/>
    <w:rsid w:val="0048687B"/>
    <w:rsid w:val="00490018"/>
    <w:rsid w:val="00495CB4"/>
    <w:rsid w:val="00496355"/>
    <w:rsid w:val="004A2CA1"/>
    <w:rsid w:val="004A3BA0"/>
    <w:rsid w:val="004A3E40"/>
    <w:rsid w:val="004A5770"/>
    <w:rsid w:val="004A580E"/>
    <w:rsid w:val="004A6255"/>
    <w:rsid w:val="004B0A63"/>
    <w:rsid w:val="004B0B21"/>
    <w:rsid w:val="004B3C65"/>
    <w:rsid w:val="004B4296"/>
    <w:rsid w:val="004B539A"/>
    <w:rsid w:val="004B6939"/>
    <w:rsid w:val="004C08BF"/>
    <w:rsid w:val="004C2E0C"/>
    <w:rsid w:val="004C4CD5"/>
    <w:rsid w:val="004C5B0A"/>
    <w:rsid w:val="004C73B2"/>
    <w:rsid w:val="004D32C8"/>
    <w:rsid w:val="004D3E1A"/>
    <w:rsid w:val="004D3E40"/>
    <w:rsid w:val="004D4AB9"/>
    <w:rsid w:val="004D6ED3"/>
    <w:rsid w:val="004E032D"/>
    <w:rsid w:val="004E48C3"/>
    <w:rsid w:val="004E595A"/>
    <w:rsid w:val="004F1F8A"/>
    <w:rsid w:val="004F2BD8"/>
    <w:rsid w:val="004F476D"/>
    <w:rsid w:val="004F679E"/>
    <w:rsid w:val="005045E0"/>
    <w:rsid w:val="00505705"/>
    <w:rsid w:val="005057C7"/>
    <w:rsid w:val="005074DB"/>
    <w:rsid w:val="005150D4"/>
    <w:rsid w:val="0051566D"/>
    <w:rsid w:val="00517B51"/>
    <w:rsid w:val="00524689"/>
    <w:rsid w:val="00526874"/>
    <w:rsid w:val="005279AA"/>
    <w:rsid w:val="00530AA1"/>
    <w:rsid w:val="00530C86"/>
    <w:rsid w:val="0053213D"/>
    <w:rsid w:val="00533597"/>
    <w:rsid w:val="005363FE"/>
    <w:rsid w:val="005364C5"/>
    <w:rsid w:val="00536527"/>
    <w:rsid w:val="005456DC"/>
    <w:rsid w:val="00546F85"/>
    <w:rsid w:val="00547A2C"/>
    <w:rsid w:val="005502B6"/>
    <w:rsid w:val="00555FA6"/>
    <w:rsid w:val="005613BD"/>
    <w:rsid w:val="005626E8"/>
    <w:rsid w:val="0056300D"/>
    <w:rsid w:val="0057668B"/>
    <w:rsid w:val="005769FF"/>
    <w:rsid w:val="005775D2"/>
    <w:rsid w:val="00582E3B"/>
    <w:rsid w:val="0058371E"/>
    <w:rsid w:val="00584A54"/>
    <w:rsid w:val="00590DE5"/>
    <w:rsid w:val="00592CE9"/>
    <w:rsid w:val="00594B35"/>
    <w:rsid w:val="005A2293"/>
    <w:rsid w:val="005A4B15"/>
    <w:rsid w:val="005A4EBF"/>
    <w:rsid w:val="005A6D85"/>
    <w:rsid w:val="005A73C9"/>
    <w:rsid w:val="005B068E"/>
    <w:rsid w:val="005B1CE0"/>
    <w:rsid w:val="005B3FE7"/>
    <w:rsid w:val="005B433B"/>
    <w:rsid w:val="005B434F"/>
    <w:rsid w:val="005B7F7F"/>
    <w:rsid w:val="005C1513"/>
    <w:rsid w:val="005C1625"/>
    <w:rsid w:val="005C4935"/>
    <w:rsid w:val="005C5168"/>
    <w:rsid w:val="005C6942"/>
    <w:rsid w:val="005C7ED3"/>
    <w:rsid w:val="005D2916"/>
    <w:rsid w:val="005D2ADC"/>
    <w:rsid w:val="005D326A"/>
    <w:rsid w:val="005D65AA"/>
    <w:rsid w:val="005E1FE7"/>
    <w:rsid w:val="005F0049"/>
    <w:rsid w:val="005F24E0"/>
    <w:rsid w:val="005F4590"/>
    <w:rsid w:val="005F5106"/>
    <w:rsid w:val="00602D61"/>
    <w:rsid w:val="0060332A"/>
    <w:rsid w:val="006120A9"/>
    <w:rsid w:val="00613E15"/>
    <w:rsid w:val="006149AF"/>
    <w:rsid w:val="00617D89"/>
    <w:rsid w:val="006221EE"/>
    <w:rsid w:val="0062297C"/>
    <w:rsid w:val="006245E6"/>
    <w:rsid w:val="006272D4"/>
    <w:rsid w:val="00630FBB"/>
    <w:rsid w:val="006329F1"/>
    <w:rsid w:val="00633572"/>
    <w:rsid w:val="0063421B"/>
    <w:rsid w:val="00636587"/>
    <w:rsid w:val="00636F48"/>
    <w:rsid w:val="006427E9"/>
    <w:rsid w:val="0064430D"/>
    <w:rsid w:val="00645F6D"/>
    <w:rsid w:val="00651098"/>
    <w:rsid w:val="00652093"/>
    <w:rsid w:val="006525E8"/>
    <w:rsid w:val="0065447F"/>
    <w:rsid w:val="00654B8A"/>
    <w:rsid w:val="006556EE"/>
    <w:rsid w:val="00655D73"/>
    <w:rsid w:val="00661D22"/>
    <w:rsid w:val="0066256A"/>
    <w:rsid w:val="006676A7"/>
    <w:rsid w:val="00670D35"/>
    <w:rsid w:val="00673ED3"/>
    <w:rsid w:val="00675EA6"/>
    <w:rsid w:val="00676A74"/>
    <w:rsid w:val="00677318"/>
    <w:rsid w:val="00677D2D"/>
    <w:rsid w:val="00680FEF"/>
    <w:rsid w:val="00681297"/>
    <w:rsid w:val="0068207A"/>
    <w:rsid w:val="006845DE"/>
    <w:rsid w:val="006876A0"/>
    <w:rsid w:val="0069093F"/>
    <w:rsid w:val="006941FD"/>
    <w:rsid w:val="006A05C8"/>
    <w:rsid w:val="006A1842"/>
    <w:rsid w:val="006A39A9"/>
    <w:rsid w:val="006A3BD6"/>
    <w:rsid w:val="006A5B49"/>
    <w:rsid w:val="006A6009"/>
    <w:rsid w:val="006A6911"/>
    <w:rsid w:val="006A6B1B"/>
    <w:rsid w:val="006A763B"/>
    <w:rsid w:val="006B237F"/>
    <w:rsid w:val="006B2BA2"/>
    <w:rsid w:val="006B2F85"/>
    <w:rsid w:val="006B39FC"/>
    <w:rsid w:val="006B4509"/>
    <w:rsid w:val="006B74A2"/>
    <w:rsid w:val="006C1436"/>
    <w:rsid w:val="006C3C4C"/>
    <w:rsid w:val="006C49FF"/>
    <w:rsid w:val="006C4CB6"/>
    <w:rsid w:val="006C6559"/>
    <w:rsid w:val="006C67E1"/>
    <w:rsid w:val="006C7852"/>
    <w:rsid w:val="006C7DE6"/>
    <w:rsid w:val="006D01C7"/>
    <w:rsid w:val="006D22EA"/>
    <w:rsid w:val="006D6DB1"/>
    <w:rsid w:val="006E27DA"/>
    <w:rsid w:val="006E3D89"/>
    <w:rsid w:val="006E4E8F"/>
    <w:rsid w:val="006E772F"/>
    <w:rsid w:val="006F297F"/>
    <w:rsid w:val="006F3987"/>
    <w:rsid w:val="006F47ED"/>
    <w:rsid w:val="006F5917"/>
    <w:rsid w:val="007020B8"/>
    <w:rsid w:val="00705874"/>
    <w:rsid w:val="00706698"/>
    <w:rsid w:val="00716878"/>
    <w:rsid w:val="00717D41"/>
    <w:rsid w:val="007227EB"/>
    <w:rsid w:val="00730915"/>
    <w:rsid w:val="00733D15"/>
    <w:rsid w:val="00734628"/>
    <w:rsid w:val="007440E0"/>
    <w:rsid w:val="0074461D"/>
    <w:rsid w:val="00746C3D"/>
    <w:rsid w:val="00750474"/>
    <w:rsid w:val="00753984"/>
    <w:rsid w:val="007556CB"/>
    <w:rsid w:val="00756E8F"/>
    <w:rsid w:val="00760E8B"/>
    <w:rsid w:val="007671B2"/>
    <w:rsid w:val="00771EF6"/>
    <w:rsid w:val="00773CAB"/>
    <w:rsid w:val="0077441C"/>
    <w:rsid w:val="00777095"/>
    <w:rsid w:val="00780E5A"/>
    <w:rsid w:val="007859BB"/>
    <w:rsid w:val="0078607F"/>
    <w:rsid w:val="007873B0"/>
    <w:rsid w:val="007877C4"/>
    <w:rsid w:val="00787ECE"/>
    <w:rsid w:val="007A2D8D"/>
    <w:rsid w:val="007A3483"/>
    <w:rsid w:val="007A4A08"/>
    <w:rsid w:val="007A519F"/>
    <w:rsid w:val="007B01D0"/>
    <w:rsid w:val="007B1B96"/>
    <w:rsid w:val="007B46D2"/>
    <w:rsid w:val="007B5C28"/>
    <w:rsid w:val="007B70D1"/>
    <w:rsid w:val="007C2930"/>
    <w:rsid w:val="007C4936"/>
    <w:rsid w:val="007D0071"/>
    <w:rsid w:val="007D051E"/>
    <w:rsid w:val="007D2E63"/>
    <w:rsid w:val="007D792E"/>
    <w:rsid w:val="007D7C23"/>
    <w:rsid w:val="007E19EB"/>
    <w:rsid w:val="007E33CB"/>
    <w:rsid w:val="007E3483"/>
    <w:rsid w:val="007E3DB5"/>
    <w:rsid w:val="007E6ABC"/>
    <w:rsid w:val="007F02B3"/>
    <w:rsid w:val="007F0D1F"/>
    <w:rsid w:val="007F0EF7"/>
    <w:rsid w:val="007F1AF6"/>
    <w:rsid w:val="007F60FC"/>
    <w:rsid w:val="0080061B"/>
    <w:rsid w:val="008017C0"/>
    <w:rsid w:val="00802F23"/>
    <w:rsid w:val="008035A2"/>
    <w:rsid w:val="008037C0"/>
    <w:rsid w:val="0080494D"/>
    <w:rsid w:val="008056C8"/>
    <w:rsid w:val="008060F9"/>
    <w:rsid w:val="0081199C"/>
    <w:rsid w:val="00817EF7"/>
    <w:rsid w:val="008212CD"/>
    <w:rsid w:val="00822298"/>
    <w:rsid w:val="00822407"/>
    <w:rsid w:val="0082411C"/>
    <w:rsid w:val="00824E85"/>
    <w:rsid w:val="00826411"/>
    <w:rsid w:val="0082743B"/>
    <w:rsid w:val="008317C0"/>
    <w:rsid w:val="008318EB"/>
    <w:rsid w:val="00831A3F"/>
    <w:rsid w:val="00831E98"/>
    <w:rsid w:val="00832FF0"/>
    <w:rsid w:val="0083421A"/>
    <w:rsid w:val="00844C99"/>
    <w:rsid w:val="008476A9"/>
    <w:rsid w:val="00851F67"/>
    <w:rsid w:val="008521E3"/>
    <w:rsid w:val="00856245"/>
    <w:rsid w:val="00860665"/>
    <w:rsid w:val="00864439"/>
    <w:rsid w:val="008645DE"/>
    <w:rsid w:val="00867C81"/>
    <w:rsid w:val="008705C3"/>
    <w:rsid w:val="00871F45"/>
    <w:rsid w:val="00873D49"/>
    <w:rsid w:val="00874CEB"/>
    <w:rsid w:val="00874E58"/>
    <w:rsid w:val="00883C42"/>
    <w:rsid w:val="00883D2E"/>
    <w:rsid w:val="008903B5"/>
    <w:rsid w:val="0089135A"/>
    <w:rsid w:val="008A13A6"/>
    <w:rsid w:val="008A44F4"/>
    <w:rsid w:val="008A69B9"/>
    <w:rsid w:val="008B413F"/>
    <w:rsid w:val="008B46E3"/>
    <w:rsid w:val="008B74B1"/>
    <w:rsid w:val="008B7F80"/>
    <w:rsid w:val="008C001E"/>
    <w:rsid w:val="008C0DEE"/>
    <w:rsid w:val="008C2DA5"/>
    <w:rsid w:val="008C6A35"/>
    <w:rsid w:val="008C6E79"/>
    <w:rsid w:val="008D0AA1"/>
    <w:rsid w:val="008D19EB"/>
    <w:rsid w:val="008D2487"/>
    <w:rsid w:val="008D41B6"/>
    <w:rsid w:val="008D6FBA"/>
    <w:rsid w:val="008D7569"/>
    <w:rsid w:val="008D759C"/>
    <w:rsid w:val="008E13B3"/>
    <w:rsid w:val="008E4A7D"/>
    <w:rsid w:val="008E534B"/>
    <w:rsid w:val="008E6015"/>
    <w:rsid w:val="008E6B4B"/>
    <w:rsid w:val="008E6D30"/>
    <w:rsid w:val="008E71DE"/>
    <w:rsid w:val="008E74F7"/>
    <w:rsid w:val="008F1FD0"/>
    <w:rsid w:val="008F23F1"/>
    <w:rsid w:val="008F73B3"/>
    <w:rsid w:val="008F7445"/>
    <w:rsid w:val="00901206"/>
    <w:rsid w:val="009064AB"/>
    <w:rsid w:val="009076B1"/>
    <w:rsid w:val="00911151"/>
    <w:rsid w:val="00914585"/>
    <w:rsid w:val="00915E6B"/>
    <w:rsid w:val="009162B3"/>
    <w:rsid w:val="0091635E"/>
    <w:rsid w:val="009206AB"/>
    <w:rsid w:val="00921BA9"/>
    <w:rsid w:val="0092491A"/>
    <w:rsid w:val="00927E3B"/>
    <w:rsid w:val="00934E61"/>
    <w:rsid w:val="009464FE"/>
    <w:rsid w:val="00946AE8"/>
    <w:rsid w:val="00946DC2"/>
    <w:rsid w:val="00951972"/>
    <w:rsid w:val="00952DE2"/>
    <w:rsid w:val="00953201"/>
    <w:rsid w:val="00954FE7"/>
    <w:rsid w:val="00960444"/>
    <w:rsid w:val="0096235C"/>
    <w:rsid w:val="009705AE"/>
    <w:rsid w:val="00972AE2"/>
    <w:rsid w:val="00972C05"/>
    <w:rsid w:val="009739C9"/>
    <w:rsid w:val="00977471"/>
    <w:rsid w:val="009820F1"/>
    <w:rsid w:val="00982E19"/>
    <w:rsid w:val="009848F7"/>
    <w:rsid w:val="00987AE0"/>
    <w:rsid w:val="009904F9"/>
    <w:rsid w:val="0099068F"/>
    <w:rsid w:val="00994265"/>
    <w:rsid w:val="00996149"/>
    <w:rsid w:val="00997BA2"/>
    <w:rsid w:val="009A65B9"/>
    <w:rsid w:val="009A6A82"/>
    <w:rsid w:val="009A7DAD"/>
    <w:rsid w:val="009B3E65"/>
    <w:rsid w:val="009B3FC7"/>
    <w:rsid w:val="009B71CE"/>
    <w:rsid w:val="009C252F"/>
    <w:rsid w:val="009C35A6"/>
    <w:rsid w:val="009C3D93"/>
    <w:rsid w:val="009C7F16"/>
    <w:rsid w:val="009D3315"/>
    <w:rsid w:val="009D4308"/>
    <w:rsid w:val="009D465F"/>
    <w:rsid w:val="009D534D"/>
    <w:rsid w:val="009E14C0"/>
    <w:rsid w:val="009E1548"/>
    <w:rsid w:val="009E5C1B"/>
    <w:rsid w:val="009E6153"/>
    <w:rsid w:val="009E7110"/>
    <w:rsid w:val="009F134B"/>
    <w:rsid w:val="009F5AC0"/>
    <w:rsid w:val="009F685D"/>
    <w:rsid w:val="009F751F"/>
    <w:rsid w:val="00A009A0"/>
    <w:rsid w:val="00A01288"/>
    <w:rsid w:val="00A030EC"/>
    <w:rsid w:val="00A03B3D"/>
    <w:rsid w:val="00A05EEA"/>
    <w:rsid w:val="00A07CB1"/>
    <w:rsid w:val="00A07D9A"/>
    <w:rsid w:val="00A12743"/>
    <w:rsid w:val="00A144B8"/>
    <w:rsid w:val="00A15D7B"/>
    <w:rsid w:val="00A17CCA"/>
    <w:rsid w:val="00A2038E"/>
    <w:rsid w:val="00A21266"/>
    <w:rsid w:val="00A305E2"/>
    <w:rsid w:val="00A3269F"/>
    <w:rsid w:val="00A3421A"/>
    <w:rsid w:val="00A363DA"/>
    <w:rsid w:val="00A37518"/>
    <w:rsid w:val="00A423D4"/>
    <w:rsid w:val="00A42932"/>
    <w:rsid w:val="00A4451A"/>
    <w:rsid w:val="00A516FA"/>
    <w:rsid w:val="00A52F9B"/>
    <w:rsid w:val="00A53CC9"/>
    <w:rsid w:val="00A5440B"/>
    <w:rsid w:val="00A55446"/>
    <w:rsid w:val="00A5652E"/>
    <w:rsid w:val="00A644AD"/>
    <w:rsid w:val="00A64C00"/>
    <w:rsid w:val="00A65045"/>
    <w:rsid w:val="00A65734"/>
    <w:rsid w:val="00A71272"/>
    <w:rsid w:val="00A72690"/>
    <w:rsid w:val="00A731C9"/>
    <w:rsid w:val="00A740E2"/>
    <w:rsid w:val="00A8143C"/>
    <w:rsid w:val="00A823E1"/>
    <w:rsid w:val="00A83051"/>
    <w:rsid w:val="00A850D1"/>
    <w:rsid w:val="00A863CC"/>
    <w:rsid w:val="00A94707"/>
    <w:rsid w:val="00AA1D71"/>
    <w:rsid w:val="00AA4164"/>
    <w:rsid w:val="00AA64B4"/>
    <w:rsid w:val="00AB24F9"/>
    <w:rsid w:val="00AB4568"/>
    <w:rsid w:val="00AB5A66"/>
    <w:rsid w:val="00AB5F64"/>
    <w:rsid w:val="00AC1E37"/>
    <w:rsid w:val="00AC401A"/>
    <w:rsid w:val="00AC6C0A"/>
    <w:rsid w:val="00AC7125"/>
    <w:rsid w:val="00AD3520"/>
    <w:rsid w:val="00AE12E2"/>
    <w:rsid w:val="00AE14F1"/>
    <w:rsid w:val="00AE1CBE"/>
    <w:rsid w:val="00AE3F15"/>
    <w:rsid w:val="00AE4259"/>
    <w:rsid w:val="00AE6E31"/>
    <w:rsid w:val="00AF18A5"/>
    <w:rsid w:val="00AF2757"/>
    <w:rsid w:val="00AF2AB7"/>
    <w:rsid w:val="00AF3095"/>
    <w:rsid w:val="00AF4371"/>
    <w:rsid w:val="00AF4604"/>
    <w:rsid w:val="00AF76D0"/>
    <w:rsid w:val="00B00161"/>
    <w:rsid w:val="00B03025"/>
    <w:rsid w:val="00B038EC"/>
    <w:rsid w:val="00B05AAA"/>
    <w:rsid w:val="00B1074B"/>
    <w:rsid w:val="00B132C1"/>
    <w:rsid w:val="00B14A46"/>
    <w:rsid w:val="00B15320"/>
    <w:rsid w:val="00B15BB1"/>
    <w:rsid w:val="00B17FCD"/>
    <w:rsid w:val="00B210A3"/>
    <w:rsid w:val="00B2162F"/>
    <w:rsid w:val="00B21B78"/>
    <w:rsid w:val="00B23A4F"/>
    <w:rsid w:val="00B251DC"/>
    <w:rsid w:val="00B2605C"/>
    <w:rsid w:val="00B3314B"/>
    <w:rsid w:val="00B41500"/>
    <w:rsid w:val="00B44972"/>
    <w:rsid w:val="00B45EC5"/>
    <w:rsid w:val="00B51FAC"/>
    <w:rsid w:val="00B566AF"/>
    <w:rsid w:val="00B64064"/>
    <w:rsid w:val="00B709A2"/>
    <w:rsid w:val="00B7296E"/>
    <w:rsid w:val="00B739AE"/>
    <w:rsid w:val="00B76DA8"/>
    <w:rsid w:val="00B77395"/>
    <w:rsid w:val="00B77D7F"/>
    <w:rsid w:val="00B80630"/>
    <w:rsid w:val="00B8187C"/>
    <w:rsid w:val="00B82864"/>
    <w:rsid w:val="00B83A73"/>
    <w:rsid w:val="00B85238"/>
    <w:rsid w:val="00B9061A"/>
    <w:rsid w:val="00B930A6"/>
    <w:rsid w:val="00B94B88"/>
    <w:rsid w:val="00B97F3C"/>
    <w:rsid w:val="00BA25D3"/>
    <w:rsid w:val="00BB07B5"/>
    <w:rsid w:val="00BB2D16"/>
    <w:rsid w:val="00BB6E1B"/>
    <w:rsid w:val="00BC1BAC"/>
    <w:rsid w:val="00BC1F82"/>
    <w:rsid w:val="00BC4B19"/>
    <w:rsid w:val="00BC681D"/>
    <w:rsid w:val="00BC7F0B"/>
    <w:rsid w:val="00BD2F51"/>
    <w:rsid w:val="00BD354F"/>
    <w:rsid w:val="00BD380B"/>
    <w:rsid w:val="00BD63DC"/>
    <w:rsid w:val="00BE3D41"/>
    <w:rsid w:val="00BE4129"/>
    <w:rsid w:val="00BE4912"/>
    <w:rsid w:val="00BE5654"/>
    <w:rsid w:val="00BE5DCD"/>
    <w:rsid w:val="00BE725E"/>
    <w:rsid w:val="00BF628E"/>
    <w:rsid w:val="00BF6990"/>
    <w:rsid w:val="00BF73B5"/>
    <w:rsid w:val="00BF7EF2"/>
    <w:rsid w:val="00C01533"/>
    <w:rsid w:val="00C02FEE"/>
    <w:rsid w:val="00C04222"/>
    <w:rsid w:val="00C05206"/>
    <w:rsid w:val="00C079D6"/>
    <w:rsid w:val="00C12B4D"/>
    <w:rsid w:val="00C152FC"/>
    <w:rsid w:val="00C15631"/>
    <w:rsid w:val="00C15A7C"/>
    <w:rsid w:val="00C168D9"/>
    <w:rsid w:val="00C17258"/>
    <w:rsid w:val="00C21497"/>
    <w:rsid w:val="00C218E9"/>
    <w:rsid w:val="00C24A5C"/>
    <w:rsid w:val="00C25942"/>
    <w:rsid w:val="00C27992"/>
    <w:rsid w:val="00C31BFE"/>
    <w:rsid w:val="00C323EF"/>
    <w:rsid w:val="00C3494C"/>
    <w:rsid w:val="00C36D7F"/>
    <w:rsid w:val="00C36FDD"/>
    <w:rsid w:val="00C42D88"/>
    <w:rsid w:val="00C44EEF"/>
    <w:rsid w:val="00C53C9D"/>
    <w:rsid w:val="00C561BB"/>
    <w:rsid w:val="00C576F8"/>
    <w:rsid w:val="00C60388"/>
    <w:rsid w:val="00C662C8"/>
    <w:rsid w:val="00C67A4E"/>
    <w:rsid w:val="00C71BE1"/>
    <w:rsid w:val="00C7345A"/>
    <w:rsid w:val="00C73E5C"/>
    <w:rsid w:val="00C75B42"/>
    <w:rsid w:val="00C76D16"/>
    <w:rsid w:val="00C77F56"/>
    <w:rsid w:val="00C80AD4"/>
    <w:rsid w:val="00C81AA3"/>
    <w:rsid w:val="00C82364"/>
    <w:rsid w:val="00C83AD8"/>
    <w:rsid w:val="00C84CDC"/>
    <w:rsid w:val="00C91DB8"/>
    <w:rsid w:val="00C93EC9"/>
    <w:rsid w:val="00C9423A"/>
    <w:rsid w:val="00C94B79"/>
    <w:rsid w:val="00C96C22"/>
    <w:rsid w:val="00CA0DB0"/>
    <w:rsid w:val="00CA6520"/>
    <w:rsid w:val="00CB12B5"/>
    <w:rsid w:val="00CB29F6"/>
    <w:rsid w:val="00CB2E69"/>
    <w:rsid w:val="00CB51C6"/>
    <w:rsid w:val="00CB7700"/>
    <w:rsid w:val="00CC39AC"/>
    <w:rsid w:val="00CC4B29"/>
    <w:rsid w:val="00CC5758"/>
    <w:rsid w:val="00CD1BE2"/>
    <w:rsid w:val="00CD2F7F"/>
    <w:rsid w:val="00CD46A2"/>
    <w:rsid w:val="00CD5533"/>
    <w:rsid w:val="00CE2BB1"/>
    <w:rsid w:val="00CE3B18"/>
    <w:rsid w:val="00CE5381"/>
    <w:rsid w:val="00CF19E1"/>
    <w:rsid w:val="00CF4E2D"/>
    <w:rsid w:val="00CF6108"/>
    <w:rsid w:val="00CF68E3"/>
    <w:rsid w:val="00CF6B9A"/>
    <w:rsid w:val="00D00BF4"/>
    <w:rsid w:val="00D028C2"/>
    <w:rsid w:val="00D047CE"/>
    <w:rsid w:val="00D0596C"/>
    <w:rsid w:val="00D219CF"/>
    <w:rsid w:val="00D239B7"/>
    <w:rsid w:val="00D24485"/>
    <w:rsid w:val="00D248AB"/>
    <w:rsid w:val="00D262D4"/>
    <w:rsid w:val="00D26392"/>
    <w:rsid w:val="00D34956"/>
    <w:rsid w:val="00D36CCD"/>
    <w:rsid w:val="00D408B6"/>
    <w:rsid w:val="00D40D9C"/>
    <w:rsid w:val="00D41B9B"/>
    <w:rsid w:val="00D42F04"/>
    <w:rsid w:val="00D47352"/>
    <w:rsid w:val="00D476F7"/>
    <w:rsid w:val="00D50A24"/>
    <w:rsid w:val="00D5255A"/>
    <w:rsid w:val="00D54DFF"/>
    <w:rsid w:val="00D60E6C"/>
    <w:rsid w:val="00D63C24"/>
    <w:rsid w:val="00D668CD"/>
    <w:rsid w:val="00D67D11"/>
    <w:rsid w:val="00D714DE"/>
    <w:rsid w:val="00D72982"/>
    <w:rsid w:val="00D82469"/>
    <w:rsid w:val="00D85888"/>
    <w:rsid w:val="00D85A63"/>
    <w:rsid w:val="00D86216"/>
    <w:rsid w:val="00D87590"/>
    <w:rsid w:val="00D95C21"/>
    <w:rsid w:val="00DA12A9"/>
    <w:rsid w:val="00DA39E2"/>
    <w:rsid w:val="00DA3C56"/>
    <w:rsid w:val="00DA518D"/>
    <w:rsid w:val="00DA6068"/>
    <w:rsid w:val="00DB0274"/>
    <w:rsid w:val="00DB0A42"/>
    <w:rsid w:val="00DB1A52"/>
    <w:rsid w:val="00DB52A8"/>
    <w:rsid w:val="00DB6F7D"/>
    <w:rsid w:val="00DB7104"/>
    <w:rsid w:val="00DC22A6"/>
    <w:rsid w:val="00DC671F"/>
    <w:rsid w:val="00DC785B"/>
    <w:rsid w:val="00DD0E0C"/>
    <w:rsid w:val="00DD1B2E"/>
    <w:rsid w:val="00DD1F7D"/>
    <w:rsid w:val="00DD2FD6"/>
    <w:rsid w:val="00DD3CB9"/>
    <w:rsid w:val="00DD5DF0"/>
    <w:rsid w:val="00DE1C5E"/>
    <w:rsid w:val="00DF124C"/>
    <w:rsid w:val="00DF124E"/>
    <w:rsid w:val="00DF31E0"/>
    <w:rsid w:val="00DF5C57"/>
    <w:rsid w:val="00DF5D2B"/>
    <w:rsid w:val="00DF7271"/>
    <w:rsid w:val="00DF740A"/>
    <w:rsid w:val="00DF7A04"/>
    <w:rsid w:val="00E01A72"/>
    <w:rsid w:val="00E02AA4"/>
    <w:rsid w:val="00E03311"/>
    <w:rsid w:val="00E06921"/>
    <w:rsid w:val="00E107DF"/>
    <w:rsid w:val="00E12B36"/>
    <w:rsid w:val="00E14FF8"/>
    <w:rsid w:val="00E17ADF"/>
    <w:rsid w:val="00E20DEF"/>
    <w:rsid w:val="00E21152"/>
    <w:rsid w:val="00E34353"/>
    <w:rsid w:val="00E3610E"/>
    <w:rsid w:val="00E418CC"/>
    <w:rsid w:val="00E41994"/>
    <w:rsid w:val="00E44F43"/>
    <w:rsid w:val="00E52A30"/>
    <w:rsid w:val="00E54563"/>
    <w:rsid w:val="00E54DAB"/>
    <w:rsid w:val="00E60106"/>
    <w:rsid w:val="00E61296"/>
    <w:rsid w:val="00E625AE"/>
    <w:rsid w:val="00E63637"/>
    <w:rsid w:val="00E70B6F"/>
    <w:rsid w:val="00E715AB"/>
    <w:rsid w:val="00E71E54"/>
    <w:rsid w:val="00E72AF1"/>
    <w:rsid w:val="00E74169"/>
    <w:rsid w:val="00E74BD4"/>
    <w:rsid w:val="00E836DC"/>
    <w:rsid w:val="00E85909"/>
    <w:rsid w:val="00E900B3"/>
    <w:rsid w:val="00E908DB"/>
    <w:rsid w:val="00E951BD"/>
    <w:rsid w:val="00E95BFB"/>
    <w:rsid w:val="00E967D1"/>
    <w:rsid w:val="00EA3E55"/>
    <w:rsid w:val="00EA550C"/>
    <w:rsid w:val="00EA7E6B"/>
    <w:rsid w:val="00EB21FE"/>
    <w:rsid w:val="00EB796D"/>
    <w:rsid w:val="00EB7D61"/>
    <w:rsid w:val="00EC25DD"/>
    <w:rsid w:val="00EC2933"/>
    <w:rsid w:val="00ED071F"/>
    <w:rsid w:val="00ED3B53"/>
    <w:rsid w:val="00EE0ECF"/>
    <w:rsid w:val="00EE1534"/>
    <w:rsid w:val="00EE48C4"/>
    <w:rsid w:val="00EF4417"/>
    <w:rsid w:val="00EF4456"/>
    <w:rsid w:val="00EF4A7D"/>
    <w:rsid w:val="00EF7F72"/>
    <w:rsid w:val="00F007AE"/>
    <w:rsid w:val="00F0345C"/>
    <w:rsid w:val="00F06A2D"/>
    <w:rsid w:val="00F11FC4"/>
    <w:rsid w:val="00F129F6"/>
    <w:rsid w:val="00F155B9"/>
    <w:rsid w:val="00F16068"/>
    <w:rsid w:val="00F16934"/>
    <w:rsid w:val="00F26613"/>
    <w:rsid w:val="00F31A4A"/>
    <w:rsid w:val="00F345C8"/>
    <w:rsid w:val="00F40F8C"/>
    <w:rsid w:val="00F41E8A"/>
    <w:rsid w:val="00F446E6"/>
    <w:rsid w:val="00F45D86"/>
    <w:rsid w:val="00F46BA5"/>
    <w:rsid w:val="00F47278"/>
    <w:rsid w:val="00F503A9"/>
    <w:rsid w:val="00F521CB"/>
    <w:rsid w:val="00F53AD6"/>
    <w:rsid w:val="00F601A3"/>
    <w:rsid w:val="00F7104D"/>
    <w:rsid w:val="00F72EC6"/>
    <w:rsid w:val="00F74110"/>
    <w:rsid w:val="00F772F0"/>
    <w:rsid w:val="00F8023D"/>
    <w:rsid w:val="00F821EB"/>
    <w:rsid w:val="00F825B6"/>
    <w:rsid w:val="00F8361D"/>
    <w:rsid w:val="00F84A6D"/>
    <w:rsid w:val="00F90A0F"/>
    <w:rsid w:val="00F91C0D"/>
    <w:rsid w:val="00F94B3F"/>
    <w:rsid w:val="00FA1083"/>
    <w:rsid w:val="00FA173C"/>
    <w:rsid w:val="00FA4A2F"/>
    <w:rsid w:val="00FA5F2F"/>
    <w:rsid w:val="00FA794A"/>
    <w:rsid w:val="00FB1EB5"/>
    <w:rsid w:val="00FB20FD"/>
    <w:rsid w:val="00FB538B"/>
    <w:rsid w:val="00FB5F29"/>
    <w:rsid w:val="00FC087D"/>
    <w:rsid w:val="00FC122B"/>
    <w:rsid w:val="00FC3AE7"/>
    <w:rsid w:val="00FC4012"/>
    <w:rsid w:val="00FD0490"/>
    <w:rsid w:val="00FD14C2"/>
    <w:rsid w:val="00FD2892"/>
    <w:rsid w:val="00FD377E"/>
    <w:rsid w:val="00FD7991"/>
    <w:rsid w:val="00FE1320"/>
    <w:rsid w:val="00FE6CF5"/>
    <w:rsid w:val="00FF007C"/>
    <w:rsid w:val="00FF09A3"/>
    <w:rsid w:val="00FF4359"/>
    <w:rsid w:val="00FF54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02D0F"/>
  </w:style>
  <w:style w:type="paragraph" w:styleId="Nadpis1">
    <w:name w:val="heading 1"/>
    <w:basedOn w:val="Normln"/>
    <w:next w:val="Normln"/>
    <w:link w:val="Nadpis1Char"/>
    <w:uiPriority w:val="9"/>
    <w:qFormat/>
    <w:rsid w:val="00302D0F"/>
    <w:pPr>
      <w:keepNext/>
      <w:spacing w:after="0" w:line="240" w:lineRule="auto"/>
      <w:outlineLvl w:val="0"/>
    </w:pPr>
    <w:rPr>
      <w:rFonts w:ascii="Times New Roman" w:eastAsiaTheme="majorEastAsia" w:hAnsi="Times New Roman" w:cstheme="majorBidi"/>
      <w:b/>
      <w:bCs/>
      <w:sz w:val="24"/>
      <w:szCs w:val="24"/>
      <w:lang w:eastAsia="cs-CZ"/>
    </w:rPr>
  </w:style>
  <w:style w:type="paragraph" w:styleId="Nadpis2">
    <w:name w:val="heading 2"/>
    <w:basedOn w:val="Normln"/>
    <w:next w:val="Normln"/>
    <w:link w:val="Nadpis2Char"/>
    <w:qFormat/>
    <w:rsid w:val="00302D0F"/>
    <w:pPr>
      <w:keepNext/>
      <w:spacing w:after="0" w:line="240" w:lineRule="auto"/>
      <w:jc w:val="both"/>
      <w:outlineLvl w:val="1"/>
    </w:pPr>
    <w:rPr>
      <w:rFonts w:ascii="Times New Roman" w:eastAsiaTheme="majorEastAsia" w:hAnsi="Times New Roman" w:cstheme="majorBidi"/>
      <w:b/>
      <w:sz w:val="24"/>
      <w:szCs w:val="24"/>
      <w:lang w:eastAsia="cs-CZ"/>
    </w:rPr>
  </w:style>
  <w:style w:type="paragraph" w:styleId="Nadpis3">
    <w:name w:val="heading 3"/>
    <w:basedOn w:val="Normln"/>
    <w:next w:val="Normln"/>
    <w:link w:val="Nadpis3Char"/>
    <w:qFormat/>
    <w:rsid w:val="00302D0F"/>
    <w:pPr>
      <w:keepNext/>
      <w:spacing w:before="240" w:after="60" w:line="240" w:lineRule="auto"/>
      <w:outlineLvl w:val="2"/>
    </w:pPr>
    <w:rPr>
      <w:rFonts w:ascii="Arial" w:eastAsiaTheme="majorEastAsia" w:hAnsi="Arial" w:cs="Arial"/>
      <w:b/>
      <w:bCs/>
      <w:sz w:val="26"/>
      <w:szCs w:val="26"/>
      <w:lang w:eastAsia="cs-CZ"/>
    </w:rPr>
  </w:style>
  <w:style w:type="paragraph" w:styleId="Nadpis4">
    <w:name w:val="heading 4"/>
    <w:basedOn w:val="Normln"/>
    <w:next w:val="Normln"/>
    <w:link w:val="Nadpis4Char"/>
    <w:qFormat/>
    <w:rsid w:val="00302D0F"/>
    <w:pPr>
      <w:keepNext/>
      <w:spacing w:before="240" w:after="60" w:line="240" w:lineRule="auto"/>
      <w:outlineLvl w:val="3"/>
    </w:pPr>
    <w:rPr>
      <w:rFonts w:ascii="Times New Roman" w:eastAsiaTheme="majorEastAsia" w:hAnsi="Times New Roman" w:cstheme="majorBidi"/>
      <w:b/>
      <w:bCs/>
      <w:sz w:val="28"/>
      <w:szCs w:val="28"/>
      <w:lang w:eastAsia="cs-CZ"/>
    </w:rPr>
  </w:style>
  <w:style w:type="paragraph" w:styleId="Nadpis5">
    <w:name w:val="heading 5"/>
    <w:basedOn w:val="Normln"/>
    <w:next w:val="Normln"/>
    <w:link w:val="Nadpis5Char"/>
    <w:qFormat/>
    <w:rsid w:val="00302D0F"/>
    <w:pPr>
      <w:spacing w:before="240" w:after="60" w:line="240" w:lineRule="auto"/>
      <w:outlineLvl w:val="4"/>
    </w:pPr>
    <w:rPr>
      <w:rFonts w:ascii="Times New Roman" w:eastAsiaTheme="majorEastAsia" w:hAnsi="Times New Roman" w:cstheme="majorBidi"/>
      <w:b/>
      <w:bCs/>
      <w:i/>
      <w:iCs/>
      <w:sz w:val="26"/>
      <w:szCs w:val="26"/>
      <w:lang w:eastAsia="cs-CZ"/>
    </w:rPr>
  </w:style>
  <w:style w:type="paragraph" w:styleId="Nadpis6">
    <w:name w:val="heading 6"/>
    <w:basedOn w:val="Normln"/>
    <w:next w:val="Normln"/>
    <w:link w:val="Nadpis6Char"/>
    <w:uiPriority w:val="9"/>
    <w:semiHidden/>
    <w:unhideWhenUsed/>
    <w:qFormat/>
    <w:rsid w:val="00302D0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02D0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02D0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02D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apitola">
    <w:name w:val="Capitola"/>
    <w:basedOn w:val="Bezmezer"/>
    <w:link w:val="CapitolaChar"/>
    <w:qFormat/>
    <w:rsid w:val="00302D0F"/>
    <w:rPr>
      <w:b/>
      <w:sz w:val="28"/>
      <w:lang w:val="fr-FR"/>
    </w:rPr>
  </w:style>
  <w:style w:type="character" w:customStyle="1" w:styleId="CapitolaChar">
    <w:name w:val="Capitola Char"/>
    <w:basedOn w:val="BezmezerChar"/>
    <w:link w:val="Capitola"/>
    <w:rsid w:val="00302D0F"/>
    <w:rPr>
      <w:rFonts w:ascii="Times New Roman" w:hAnsi="Times New Roman"/>
      <w:b/>
      <w:sz w:val="28"/>
      <w:szCs w:val="24"/>
      <w:lang w:val="fr-FR" w:eastAsia="sk-SK"/>
    </w:rPr>
  </w:style>
  <w:style w:type="paragraph" w:styleId="Bezmezer">
    <w:name w:val="No Spacing"/>
    <w:link w:val="BezmezerChar"/>
    <w:uiPriority w:val="1"/>
    <w:qFormat/>
    <w:rsid w:val="00302D0F"/>
    <w:pPr>
      <w:spacing w:after="0" w:line="240" w:lineRule="auto"/>
    </w:pPr>
    <w:rPr>
      <w:rFonts w:ascii="Times New Roman" w:hAnsi="Times New Roman"/>
      <w:sz w:val="24"/>
      <w:szCs w:val="24"/>
      <w:lang w:val="sk-SK" w:eastAsia="sk-SK"/>
    </w:rPr>
  </w:style>
  <w:style w:type="paragraph" w:customStyle="1" w:styleId="podkapitola">
    <w:name w:val="podkapitola"/>
    <w:basedOn w:val="Normln"/>
    <w:link w:val="podkapitolaChar"/>
    <w:qFormat/>
    <w:rsid w:val="00302D0F"/>
    <w:pPr>
      <w:spacing w:after="0"/>
      <w:jc w:val="both"/>
    </w:pPr>
    <w:rPr>
      <w:rFonts w:ascii="Times New Roman" w:eastAsia="Times New Roman" w:hAnsi="Times New Roman" w:cs="Times New Roman"/>
      <w:b/>
      <w:i/>
      <w:sz w:val="20"/>
      <w:szCs w:val="20"/>
      <w:lang w:eastAsia="sk-SK"/>
    </w:rPr>
  </w:style>
  <w:style w:type="character" w:customStyle="1" w:styleId="podkapitolaChar">
    <w:name w:val="podkapitola Char"/>
    <w:basedOn w:val="Standardnpsmoodstavce"/>
    <w:link w:val="podkapitola"/>
    <w:rsid w:val="00302D0F"/>
    <w:rPr>
      <w:rFonts w:ascii="Times New Roman" w:eastAsia="Times New Roman" w:hAnsi="Times New Roman" w:cs="Times New Roman"/>
      <w:b/>
      <w:i/>
      <w:sz w:val="20"/>
      <w:szCs w:val="20"/>
      <w:lang w:eastAsia="sk-SK"/>
    </w:rPr>
  </w:style>
  <w:style w:type="paragraph" w:customStyle="1" w:styleId="podpodkapitola">
    <w:name w:val="podpodkapitola"/>
    <w:basedOn w:val="Odstavecseseznamem"/>
    <w:link w:val="podpodkapitolaChar"/>
    <w:qFormat/>
    <w:rsid w:val="00302D0F"/>
    <w:pPr>
      <w:spacing w:after="0" w:line="240" w:lineRule="auto"/>
      <w:ind w:left="1080" w:hanging="720"/>
    </w:pPr>
    <w:rPr>
      <w:rFonts w:ascii="Times New Roman" w:eastAsia="Times New Roman" w:hAnsi="Times New Roman" w:cs="Times New Roman"/>
      <w:b/>
      <w:i/>
      <w:sz w:val="20"/>
      <w:szCs w:val="24"/>
      <w:lang w:val="sk-SK" w:eastAsia="sk-SK"/>
    </w:rPr>
  </w:style>
  <w:style w:type="character" w:customStyle="1" w:styleId="podpodkapitolaChar">
    <w:name w:val="podpodkapitola Char"/>
    <w:basedOn w:val="OdstavecseseznamemChar"/>
    <w:link w:val="podpodkapitola"/>
    <w:rsid w:val="00302D0F"/>
    <w:rPr>
      <w:rFonts w:ascii="Times New Roman" w:eastAsia="Times New Roman" w:hAnsi="Times New Roman" w:cs="Times New Roman"/>
      <w:b/>
      <w:i/>
      <w:sz w:val="20"/>
      <w:szCs w:val="24"/>
      <w:lang w:val="sk-SK" w:eastAsia="sk-SK"/>
    </w:rPr>
  </w:style>
  <w:style w:type="paragraph" w:styleId="Odstavecseseznamem">
    <w:name w:val="List Paragraph"/>
    <w:basedOn w:val="Normln"/>
    <w:link w:val="OdstavecseseznamemChar"/>
    <w:uiPriority w:val="34"/>
    <w:qFormat/>
    <w:rsid w:val="00302D0F"/>
    <w:pPr>
      <w:ind w:left="720"/>
      <w:contextualSpacing/>
    </w:pPr>
  </w:style>
  <w:style w:type="paragraph" w:customStyle="1" w:styleId="0">
    <w:name w:val="дисер 0"/>
    <w:basedOn w:val="Normln"/>
    <w:link w:val="00"/>
    <w:qFormat/>
    <w:rsid w:val="00302D0F"/>
    <w:pPr>
      <w:suppressAutoHyphens/>
      <w:spacing w:after="0" w:line="360" w:lineRule="auto"/>
      <w:ind w:left="-11" w:firstLine="709"/>
      <w:contextualSpacing/>
      <w:jc w:val="both"/>
    </w:pPr>
    <w:rPr>
      <w:rFonts w:ascii="Times New Roman" w:eastAsia="Times New Roman" w:hAnsi="Times New Roman" w:cs="Times New Roman"/>
      <w:color w:val="00000A"/>
      <w:sz w:val="24"/>
      <w:szCs w:val="24"/>
      <w:lang w:val="ru-RU" w:eastAsia="ru-RU"/>
    </w:rPr>
  </w:style>
  <w:style w:type="character" w:customStyle="1" w:styleId="00">
    <w:name w:val="дисер 0 Знак"/>
    <w:basedOn w:val="Standardnpsmoodstavce"/>
    <w:link w:val="0"/>
    <w:rsid w:val="00302D0F"/>
    <w:rPr>
      <w:rFonts w:ascii="Times New Roman" w:eastAsia="Times New Roman" w:hAnsi="Times New Roman" w:cs="Times New Roman"/>
      <w:color w:val="00000A"/>
      <w:sz w:val="24"/>
      <w:szCs w:val="24"/>
      <w:lang w:val="ru-RU" w:eastAsia="ru-RU"/>
    </w:rPr>
  </w:style>
  <w:style w:type="character" w:customStyle="1" w:styleId="Nadpis1Char">
    <w:name w:val="Nadpis 1 Char"/>
    <w:basedOn w:val="Standardnpsmoodstavce"/>
    <w:link w:val="Nadpis1"/>
    <w:uiPriority w:val="9"/>
    <w:rsid w:val="00302D0F"/>
    <w:rPr>
      <w:rFonts w:ascii="Times New Roman" w:eastAsiaTheme="majorEastAsia" w:hAnsi="Times New Roman" w:cstheme="majorBidi"/>
      <w:b/>
      <w:bCs/>
      <w:sz w:val="24"/>
      <w:szCs w:val="24"/>
      <w:lang w:eastAsia="cs-CZ"/>
    </w:rPr>
  </w:style>
  <w:style w:type="character" w:customStyle="1" w:styleId="Nadpis2Char">
    <w:name w:val="Nadpis 2 Char"/>
    <w:basedOn w:val="Standardnpsmoodstavce"/>
    <w:link w:val="Nadpis2"/>
    <w:rsid w:val="00302D0F"/>
    <w:rPr>
      <w:rFonts w:ascii="Times New Roman" w:eastAsiaTheme="majorEastAsia" w:hAnsi="Times New Roman" w:cstheme="majorBidi"/>
      <w:b/>
      <w:sz w:val="24"/>
      <w:szCs w:val="24"/>
      <w:lang w:eastAsia="cs-CZ"/>
    </w:rPr>
  </w:style>
  <w:style w:type="character" w:customStyle="1" w:styleId="Nadpis3Char">
    <w:name w:val="Nadpis 3 Char"/>
    <w:basedOn w:val="Standardnpsmoodstavce"/>
    <w:link w:val="Nadpis3"/>
    <w:rsid w:val="00302D0F"/>
    <w:rPr>
      <w:rFonts w:ascii="Arial" w:eastAsiaTheme="majorEastAsia" w:hAnsi="Arial" w:cs="Arial"/>
      <w:b/>
      <w:bCs/>
      <w:sz w:val="26"/>
      <w:szCs w:val="26"/>
      <w:lang w:eastAsia="cs-CZ"/>
    </w:rPr>
  </w:style>
  <w:style w:type="character" w:customStyle="1" w:styleId="Nadpis4Char">
    <w:name w:val="Nadpis 4 Char"/>
    <w:basedOn w:val="Standardnpsmoodstavce"/>
    <w:link w:val="Nadpis4"/>
    <w:rsid w:val="00302D0F"/>
    <w:rPr>
      <w:rFonts w:ascii="Times New Roman" w:eastAsiaTheme="majorEastAsia" w:hAnsi="Times New Roman" w:cstheme="majorBidi"/>
      <w:b/>
      <w:bCs/>
      <w:sz w:val="28"/>
      <w:szCs w:val="28"/>
      <w:lang w:eastAsia="cs-CZ"/>
    </w:rPr>
  </w:style>
  <w:style w:type="character" w:customStyle="1" w:styleId="Nadpis5Char">
    <w:name w:val="Nadpis 5 Char"/>
    <w:basedOn w:val="Standardnpsmoodstavce"/>
    <w:link w:val="Nadpis5"/>
    <w:rsid w:val="00302D0F"/>
    <w:rPr>
      <w:rFonts w:ascii="Times New Roman" w:eastAsiaTheme="majorEastAsia" w:hAnsi="Times New Roman" w:cstheme="majorBidi"/>
      <w:b/>
      <w:bCs/>
      <w:i/>
      <w:iCs/>
      <w:sz w:val="26"/>
      <w:szCs w:val="26"/>
      <w:lang w:eastAsia="cs-CZ"/>
    </w:rPr>
  </w:style>
  <w:style w:type="character" w:customStyle="1" w:styleId="Nadpis6Char">
    <w:name w:val="Nadpis 6 Char"/>
    <w:basedOn w:val="Standardnpsmoodstavce"/>
    <w:link w:val="Nadpis6"/>
    <w:uiPriority w:val="9"/>
    <w:semiHidden/>
    <w:rsid w:val="00302D0F"/>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02D0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02D0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02D0F"/>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302D0F"/>
    <w:pPr>
      <w:spacing w:line="240" w:lineRule="auto"/>
    </w:pPr>
    <w:rPr>
      <w:b/>
      <w:bCs/>
      <w:color w:val="4F81BD" w:themeColor="accent1"/>
      <w:sz w:val="18"/>
      <w:szCs w:val="18"/>
    </w:rPr>
  </w:style>
  <w:style w:type="paragraph" w:styleId="Nzev">
    <w:name w:val="Title"/>
    <w:basedOn w:val="Normln"/>
    <w:next w:val="Normln"/>
    <w:link w:val="NzevChar"/>
    <w:uiPriority w:val="10"/>
    <w:qFormat/>
    <w:rsid w:val="00302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02D0F"/>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302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302D0F"/>
    <w:rPr>
      <w:rFonts w:asciiTheme="majorHAnsi" w:eastAsiaTheme="majorEastAsia" w:hAnsiTheme="majorHAnsi" w:cstheme="majorBidi"/>
      <w:i/>
      <w:iCs/>
      <w:color w:val="4F81BD" w:themeColor="accent1"/>
      <w:spacing w:val="15"/>
      <w:sz w:val="24"/>
      <w:szCs w:val="24"/>
    </w:rPr>
  </w:style>
  <w:style w:type="character" w:styleId="Siln">
    <w:name w:val="Strong"/>
    <w:uiPriority w:val="22"/>
    <w:qFormat/>
    <w:rsid w:val="00302D0F"/>
    <w:rPr>
      <w:b/>
      <w:bCs/>
    </w:rPr>
  </w:style>
  <w:style w:type="character" w:styleId="Zvraznn">
    <w:name w:val="Emphasis"/>
    <w:uiPriority w:val="20"/>
    <w:qFormat/>
    <w:rsid w:val="00302D0F"/>
    <w:rPr>
      <w:i/>
      <w:iCs/>
    </w:rPr>
  </w:style>
  <w:style w:type="character" w:customStyle="1" w:styleId="BezmezerChar">
    <w:name w:val="Bez mezer Char"/>
    <w:basedOn w:val="Standardnpsmoodstavce"/>
    <w:link w:val="Bezmezer"/>
    <w:uiPriority w:val="1"/>
    <w:rsid w:val="00302D0F"/>
    <w:rPr>
      <w:rFonts w:ascii="Times New Roman" w:hAnsi="Times New Roman"/>
      <w:sz w:val="24"/>
      <w:szCs w:val="24"/>
      <w:lang w:val="sk-SK" w:eastAsia="sk-SK"/>
    </w:rPr>
  </w:style>
  <w:style w:type="character" w:customStyle="1" w:styleId="OdstavecseseznamemChar">
    <w:name w:val="Odstavec se seznamem Char"/>
    <w:basedOn w:val="Standardnpsmoodstavce"/>
    <w:link w:val="Odstavecseseznamem"/>
    <w:uiPriority w:val="34"/>
    <w:rsid w:val="00302D0F"/>
  </w:style>
  <w:style w:type="paragraph" w:styleId="Citt">
    <w:name w:val="Quote"/>
    <w:basedOn w:val="Normln"/>
    <w:next w:val="Normln"/>
    <w:link w:val="CittChar"/>
    <w:uiPriority w:val="29"/>
    <w:qFormat/>
    <w:rsid w:val="00302D0F"/>
    <w:rPr>
      <w:i/>
      <w:iCs/>
      <w:color w:val="000000" w:themeColor="text1"/>
    </w:rPr>
  </w:style>
  <w:style w:type="character" w:customStyle="1" w:styleId="CittChar">
    <w:name w:val="Citát Char"/>
    <w:basedOn w:val="Standardnpsmoodstavce"/>
    <w:link w:val="Citt"/>
    <w:uiPriority w:val="29"/>
    <w:rsid w:val="00302D0F"/>
    <w:rPr>
      <w:i/>
      <w:iCs/>
      <w:color w:val="000000" w:themeColor="text1"/>
    </w:rPr>
  </w:style>
  <w:style w:type="paragraph" w:styleId="Vrazncitt">
    <w:name w:val="Intense Quote"/>
    <w:basedOn w:val="Normln"/>
    <w:next w:val="Normln"/>
    <w:link w:val="VrazncittChar"/>
    <w:uiPriority w:val="30"/>
    <w:qFormat/>
    <w:rsid w:val="00302D0F"/>
    <w:pPr>
      <w:pBdr>
        <w:bottom w:val="single" w:sz="4" w:space="4" w:color="4F81BD" w:themeColor="accent1"/>
      </w:pBdr>
      <w:spacing w:before="200" w:after="280"/>
      <w:ind w:left="936" w:right="936"/>
    </w:pPr>
    <w:rPr>
      <w:rFonts w:eastAsiaTheme="minorEastAsia"/>
      <w:b/>
      <w:bCs/>
      <w:i/>
      <w:iCs/>
      <w:color w:val="4F81BD" w:themeColor="accent1"/>
      <w:lang w:eastAsia="cs-CZ"/>
    </w:rPr>
  </w:style>
  <w:style w:type="character" w:customStyle="1" w:styleId="VrazncittChar">
    <w:name w:val="Výrazný citát Char"/>
    <w:basedOn w:val="Standardnpsmoodstavce"/>
    <w:link w:val="Vrazncitt"/>
    <w:uiPriority w:val="30"/>
    <w:rsid w:val="00302D0F"/>
    <w:rPr>
      <w:rFonts w:eastAsiaTheme="minorEastAsia"/>
      <w:b/>
      <w:bCs/>
      <w:i/>
      <w:iCs/>
      <w:color w:val="4F81BD" w:themeColor="accent1"/>
      <w:lang w:eastAsia="cs-CZ"/>
    </w:rPr>
  </w:style>
  <w:style w:type="character" w:styleId="Zdraznnjemn">
    <w:name w:val="Subtle Emphasis"/>
    <w:uiPriority w:val="19"/>
    <w:qFormat/>
    <w:rsid w:val="00302D0F"/>
    <w:rPr>
      <w:i/>
      <w:iCs/>
      <w:color w:val="808080" w:themeColor="text1" w:themeTint="7F"/>
    </w:rPr>
  </w:style>
  <w:style w:type="character" w:styleId="Zdraznnintenzivn">
    <w:name w:val="Intense Emphasis"/>
    <w:uiPriority w:val="21"/>
    <w:qFormat/>
    <w:rsid w:val="00302D0F"/>
    <w:rPr>
      <w:b/>
      <w:bCs/>
      <w:i/>
      <w:iCs/>
      <w:color w:val="4F81BD" w:themeColor="accent1"/>
    </w:rPr>
  </w:style>
  <w:style w:type="character" w:styleId="Odkazjemn">
    <w:name w:val="Subtle Reference"/>
    <w:basedOn w:val="Standardnpsmoodstavce"/>
    <w:uiPriority w:val="31"/>
    <w:qFormat/>
    <w:rsid w:val="00302D0F"/>
    <w:rPr>
      <w:smallCaps/>
      <w:color w:val="C0504D" w:themeColor="accent2"/>
      <w:u w:val="single"/>
    </w:rPr>
  </w:style>
  <w:style w:type="character" w:styleId="Odkazintenzivn">
    <w:name w:val="Intense Reference"/>
    <w:uiPriority w:val="32"/>
    <w:qFormat/>
    <w:rsid w:val="00302D0F"/>
    <w:rPr>
      <w:b/>
      <w:bCs/>
      <w:smallCaps/>
      <w:color w:val="C0504D" w:themeColor="accent2"/>
      <w:spacing w:val="5"/>
      <w:u w:val="single"/>
    </w:rPr>
  </w:style>
  <w:style w:type="character" w:styleId="Nzevknihy">
    <w:name w:val="Book Title"/>
    <w:basedOn w:val="Standardnpsmoodstavce"/>
    <w:uiPriority w:val="33"/>
    <w:qFormat/>
    <w:rsid w:val="00302D0F"/>
    <w:rPr>
      <w:b/>
      <w:bCs/>
      <w:smallCaps/>
      <w:spacing w:val="5"/>
    </w:rPr>
  </w:style>
  <w:style w:type="paragraph" w:styleId="Nadpisobsahu">
    <w:name w:val="TOC Heading"/>
    <w:basedOn w:val="Nadpis1"/>
    <w:next w:val="Normln"/>
    <w:uiPriority w:val="39"/>
    <w:semiHidden/>
    <w:unhideWhenUsed/>
    <w:qFormat/>
    <w:rsid w:val="00302D0F"/>
    <w:pPr>
      <w:keepLines/>
      <w:spacing w:before="480" w:line="276" w:lineRule="auto"/>
      <w:outlineLvl w:val="9"/>
    </w:pPr>
    <w:rPr>
      <w:rFonts w:asciiTheme="majorHAnsi" w:hAnsiTheme="majorHAnsi"/>
      <w:color w:val="365F91" w:themeColor="accent1" w:themeShade="BF"/>
      <w:sz w:val="28"/>
      <w:szCs w:val="28"/>
      <w:lang w:eastAsia="en-US"/>
    </w:rPr>
  </w:style>
  <w:style w:type="table" w:styleId="Mkatabulky">
    <w:name w:val="Table Grid"/>
    <w:basedOn w:val="Normlntabulka"/>
    <w:uiPriority w:val="59"/>
    <w:rsid w:val="006E3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E3D8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3D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02D0F"/>
  </w:style>
  <w:style w:type="paragraph" w:styleId="Nadpis1">
    <w:name w:val="heading 1"/>
    <w:basedOn w:val="Normln"/>
    <w:next w:val="Normln"/>
    <w:link w:val="Nadpis1Char"/>
    <w:uiPriority w:val="9"/>
    <w:qFormat/>
    <w:rsid w:val="00302D0F"/>
    <w:pPr>
      <w:keepNext/>
      <w:spacing w:after="0" w:line="240" w:lineRule="auto"/>
      <w:outlineLvl w:val="0"/>
    </w:pPr>
    <w:rPr>
      <w:rFonts w:ascii="Times New Roman" w:eastAsiaTheme="majorEastAsia" w:hAnsi="Times New Roman" w:cstheme="majorBidi"/>
      <w:b/>
      <w:bCs/>
      <w:sz w:val="24"/>
      <w:szCs w:val="24"/>
      <w:lang w:eastAsia="cs-CZ"/>
    </w:rPr>
  </w:style>
  <w:style w:type="paragraph" w:styleId="Nadpis2">
    <w:name w:val="heading 2"/>
    <w:basedOn w:val="Normln"/>
    <w:next w:val="Normln"/>
    <w:link w:val="Nadpis2Char"/>
    <w:qFormat/>
    <w:rsid w:val="00302D0F"/>
    <w:pPr>
      <w:keepNext/>
      <w:spacing w:after="0" w:line="240" w:lineRule="auto"/>
      <w:jc w:val="both"/>
      <w:outlineLvl w:val="1"/>
    </w:pPr>
    <w:rPr>
      <w:rFonts w:ascii="Times New Roman" w:eastAsiaTheme="majorEastAsia" w:hAnsi="Times New Roman" w:cstheme="majorBidi"/>
      <w:b/>
      <w:sz w:val="24"/>
      <w:szCs w:val="24"/>
      <w:lang w:eastAsia="cs-CZ"/>
    </w:rPr>
  </w:style>
  <w:style w:type="paragraph" w:styleId="Nadpis3">
    <w:name w:val="heading 3"/>
    <w:basedOn w:val="Normln"/>
    <w:next w:val="Normln"/>
    <w:link w:val="Nadpis3Char"/>
    <w:qFormat/>
    <w:rsid w:val="00302D0F"/>
    <w:pPr>
      <w:keepNext/>
      <w:spacing w:before="240" w:after="60" w:line="240" w:lineRule="auto"/>
      <w:outlineLvl w:val="2"/>
    </w:pPr>
    <w:rPr>
      <w:rFonts w:ascii="Arial" w:eastAsiaTheme="majorEastAsia" w:hAnsi="Arial" w:cs="Arial"/>
      <w:b/>
      <w:bCs/>
      <w:sz w:val="26"/>
      <w:szCs w:val="26"/>
      <w:lang w:eastAsia="cs-CZ"/>
    </w:rPr>
  </w:style>
  <w:style w:type="paragraph" w:styleId="Nadpis4">
    <w:name w:val="heading 4"/>
    <w:basedOn w:val="Normln"/>
    <w:next w:val="Normln"/>
    <w:link w:val="Nadpis4Char"/>
    <w:qFormat/>
    <w:rsid w:val="00302D0F"/>
    <w:pPr>
      <w:keepNext/>
      <w:spacing w:before="240" w:after="60" w:line="240" w:lineRule="auto"/>
      <w:outlineLvl w:val="3"/>
    </w:pPr>
    <w:rPr>
      <w:rFonts w:ascii="Times New Roman" w:eastAsiaTheme="majorEastAsia" w:hAnsi="Times New Roman" w:cstheme="majorBidi"/>
      <w:b/>
      <w:bCs/>
      <w:sz w:val="28"/>
      <w:szCs w:val="28"/>
      <w:lang w:eastAsia="cs-CZ"/>
    </w:rPr>
  </w:style>
  <w:style w:type="paragraph" w:styleId="Nadpis5">
    <w:name w:val="heading 5"/>
    <w:basedOn w:val="Normln"/>
    <w:next w:val="Normln"/>
    <w:link w:val="Nadpis5Char"/>
    <w:qFormat/>
    <w:rsid w:val="00302D0F"/>
    <w:pPr>
      <w:spacing w:before="240" w:after="60" w:line="240" w:lineRule="auto"/>
      <w:outlineLvl w:val="4"/>
    </w:pPr>
    <w:rPr>
      <w:rFonts w:ascii="Times New Roman" w:eastAsiaTheme="majorEastAsia" w:hAnsi="Times New Roman" w:cstheme="majorBidi"/>
      <w:b/>
      <w:bCs/>
      <w:i/>
      <w:iCs/>
      <w:sz w:val="26"/>
      <w:szCs w:val="26"/>
      <w:lang w:eastAsia="cs-CZ"/>
    </w:rPr>
  </w:style>
  <w:style w:type="paragraph" w:styleId="Nadpis6">
    <w:name w:val="heading 6"/>
    <w:basedOn w:val="Normln"/>
    <w:next w:val="Normln"/>
    <w:link w:val="Nadpis6Char"/>
    <w:uiPriority w:val="9"/>
    <w:semiHidden/>
    <w:unhideWhenUsed/>
    <w:qFormat/>
    <w:rsid w:val="00302D0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02D0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02D0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02D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apitola">
    <w:name w:val="Capitola"/>
    <w:basedOn w:val="Bezmezer"/>
    <w:link w:val="CapitolaChar"/>
    <w:qFormat/>
    <w:rsid w:val="00302D0F"/>
    <w:rPr>
      <w:b/>
      <w:sz w:val="28"/>
      <w:lang w:val="fr-FR"/>
    </w:rPr>
  </w:style>
  <w:style w:type="character" w:customStyle="1" w:styleId="CapitolaChar">
    <w:name w:val="Capitola Char"/>
    <w:basedOn w:val="BezmezerChar"/>
    <w:link w:val="Capitola"/>
    <w:rsid w:val="00302D0F"/>
    <w:rPr>
      <w:rFonts w:ascii="Times New Roman" w:hAnsi="Times New Roman"/>
      <w:b/>
      <w:sz w:val="28"/>
      <w:szCs w:val="24"/>
      <w:lang w:val="fr-FR" w:eastAsia="sk-SK"/>
    </w:rPr>
  </w:style>
  <w:style w:type="paragraph" w:styleId="Bezmezer">
    <w:name w:val="No Spacing"/>
    <w:link w:val="BezmezerChar"/>
    <w:uiPriority w:val="1"/>
    <w:qFormat/>
    <w:rsid w:val="00302D0F"/>
    <w:pPr>
      <w:spacing w:after="0" w:line="240" w:lineRule="auto"/>
    </w:pPr>
    <w:rPr>
      <w:rFonts w:ascii="Times New Roman" w:hAnsi="Times New Roman"/>
      <w:sz w:val="24"/>
      <w:szCs w:val="24"/>
      <w:lang w:val="sk-SK" w:eastAsia="sk-SK"/>
    </w:rPr>
  </w:style>
  <w:style w:type="paragraph" w:customStyle="1" w:styleId="podkapitola">
    <w:name w:val="podkapitola"/>
    <w:basedOn w:val="Normln"/>
    <w:link w:val="podkapitolaChar"/>
    <w:qFormat/>
    <w:rsid w:val="00302D0F"/>
    <w:pPr>
      <w:spacing w:after="0"/>
      <w:jc w:val="both"/>
    </w:pPr>
    <w:rPr>
      <w:rFonts w:ascii="Times New Roman" w:eastAsia="Times New Roman" w:hAnsi="Times New Roman" w:cs="Times New Roman"/>
      <w:b/>
      <w:i/>
      <w:sz w:val="20"/>
      <w:szCs w:val="20"/>
      <w:lang w:eastAsia="sk-SK"/>
    </w:rPr>
  </w:style>
  <w:style w:type="character" w:customStyle="1" w:styleId="podkapitolaChar">
    <w:name w:val="podkapitola Char"/>
    <w:basedOn w:val="Standardnpsmoodstavce"/>
    <w:link w:val="podkapitola"/>
    <w:rsid w:val="00302D0F"/>
    <w:rPr>
      <w:rFonts w:ascii="Times New Roman" w:eastAsia="Times New Roman" w:hAnsi="Times New Roman" w:cs="Times New Roman"/>
      <w:b/>
      <w:i/>
      <w:sz w:val="20"/>
      <w:szCs w:val="20"/>
      <w:lang w:eastAsia="sk-SK"/>
    </w:rPr>
  </w:style>
  <w:style w:type="paragraph" w:customStyle="1" w:styleId="podpodkapitola">
    <w:name w:val="podpodkapitola"/>
    <w:basedOn w:val="Odstavecseseznamem"/>
    <w:link w:val="podpodkapitolaChar"/>
    <w:qFormat/>
    <w:rsid w:val="00302D0F"/>
    <w:pPr>
      <w:spacing w:after="0" w:line="240" w:lineRule="auto"/>
      <w:ind w:left="1080" w:hanging="720"/>
    </w:pPr>
    <w:rPr>
      <w:rFonts w:ascii="Times New Roman" w:eastAsia="Times New Roman" w:hAnsi="Times New Roman" w:cs="Times New Roman"/>
      <w:b/>
      <w:i/>
      <w:sz w:val="20"/>
      <w:szCs w:val="24"/>
      <w:lang w:val="sk-SK" w:eastAsia="sk-SK"/>
    </w:rPr>
  </w:style>
  <w:style w:type="character" w:customStyle="1" w:styleId="podpodkapitolaChar">
    <w:name w:val="podpodkapitola Char"/>
    <w:basedOn w:val="OdstavecseseznamemChar"/>
    <w:link w:val="podpodkapitola"/>
    <w:rsid w:val="00302D0F"/>
    <w:rPr>
      <w:rFonts w:ascii="Times New Roman" w:eastAsia="Times New Roman" w:hAnsi="Times New Roman" w:cs="Times New Roman"/>
      <w:b/>
      <w:i/>
      <w:sz w:val="20"/>
      <w:szCs w:val="24"/>
      <w:lang w:val="sk-SK" w:eastAsia="sk-SK"/>
    </w:rPr>
  </w:style>
  <w:style w:type="paragraph" w:styleId="Odstavecseseznamem">
    <w:name w:val="List Paragraph"/>
    <w:basedOn w:val="Normln"/>
    <w:link w:val="OdstavecseseznamemChar"/>
    <w:uiPriority w:val="34"/>
    <w:qFormat/>
    <w:rsid w:val="00302D0F"/>
    <w:pPr>
      <w:ind w:left="720"/>
      <w:contextualSpacing/>
    </w:pPr>
  </w:style>
  <w:style w:type="paragraph" w:customStyle="1" w:styleId="0">
    <w:name w:val="дисер 0"/>
    <w:basedOn w:val="Normln"/>
    <w:link w:val="00"/>
    <w:qFormat/>
    <w:rsid w:val="00302D0F"/>
    <w:pPr>
      <w:suppressAutoHyphens/>
      <w:spacing w:after="0" w:line="360" w:lineRule="auto"/>
      <w:ind w:left="-11" w:firstLine="709"/>
      <w:contextualSpacing/>
      <w:jc w:val="both"/>
    </w:pPr>
    <w:rPr>
      <w:rFonts w:ascii="Times New Roman" w:eastAsia="Times New Roman" w:hAnsi="Times New Roman" w:cs="Times New Roman"/>
      <w:color w:val="00000A"/>
      <w:sz w:val="24"/>
      <w:szCs w:val="24"/>
      <w:lang w:val="ru-RU" w:eastAsia="ru-RU"/>
    </w:rPr>
  </w:style>
  <w:style w:type="character" w:customStyle="1" w:styleId="00">
    <w:name w:val="дисер 0 Знак"/>
    <w:basedOn w:val="Standardnpsmoodstavce"/>
    <w:link w:val="0"/>
    <w:rsid w:val="00302D0F"/>
    <w:rPr>
      <w:rFonts w:ascii="Times New Roman" w:eastAsia="Times New Roman" w:hAnsi="Times New Roman" w:cs="Times New Roman"/>
      <w:color w:val="00000A"/>
      <w:sz w:val="24"/>
      <w:szCs w:val="24"/>
      <w:lang w:val="ru-RU" w:eastAsia="ru-RU"/>
    </w:rPr>
  </w:style>
  <w:style w:type="character" w:customStyle="1" w:styleId="Nadpis1Char">
    <w:name w:val="Nadpis 1 Char"/>
    <w:basedOn w:val="Standardnpsmoodstavce"/>
    <w:link w:val="Nadpis1"/>
    <w:uiPriority w:val="9"/>
    <w:rsid w:val="00302D0F"/>
    <w:rPr>
      <w:rFonts w:ascii="Times New Roman" w:eastAsiaTheme="majorEastAsia" w:hAnsi="Times New Roman" w:cstheme="majorBidi"/>
      <w:b/>
      <w:bCs/>
      <w:sz w:val="24"/>
      <w:szCs w:val="24"/>
      <w:lang w:eastAsia="cs-CZ"/>
    </w:rPr>
  </w:style>
  <w:style w:type="character" w:customStyle="1" w:styleId="Nadpis2Char">
    <w:name w:val="Nadpis 2 Char"/>
    <w:basedOn w:val="Standardnpsmoodstavce"/>
    <w:link w:val="Nadpis2"/>
    <w:rsid w:val="00302D0F"/>
    <w:rPr>
      <w:rFonts w:ascii="Times New Roman" w:eastAsiaTheme="majorEastAsia" w:hAnsi="Times New Roman" w:cstheme="majorBidi"/>
      <w:b/>
      <w:sz w:val="24"/>
      <w:szCs w:val="24"/>
      <w:lang w:eastAsia="cs-CZ"/>
    </w:rPr>
  </w:style>
  <w:style w:type="character" w:customStyle="1" w:styleId="Nadpis3Char">
    <w:name w:val="Nadpis 3 Char"/>
    <w:basedOn w:val="Standardnpsmoodstavce"/>
    <w:link w:val="Nadpis3"/>
    <w:rsid w:val="00302D0F"/>
    <w:rPr>
      <w:rFonts w:ascii="Arial" w:eastAsiaTheme="majorEastAsia" w:hAnsi="Arial" w:cs="Arial"/>
      <w:b/>
      <w:bCs/>
      <w:sz w:val="26"/>
      <w:szCs w:val="26"/>
      <w:lang w:eastAsia="cs-CZ"/>
    </w:rPr>
  </w:style>
  <w:style w:type="character" w:customStyle="1" w:styleId="Nadpis4Char">
    <w:name w:val="Nadpis 4 Char"/>
    <w:basedOn w:val="Standardnpsmoodstavce"/>
    <w:link w:val="Nadpis4"/>
    <w:rsid w:val="00302D0F"/>
    <w:rPr>
      <w:rFonts w:ascii="Times New Roman" w:eastAsiaTheme="majorEastAsia" w:hAnsi="Times New Roman" w:cstheme="majorBidi"/>
      <w:b/>
      <w:bCs/>
      <w:sz w:val="28"/>
      <w:szCs w:val="28"/>
      <w:lang w:eastAsia="cs-CZ"/>
    </w:rPr>
  </w:style>
  <w:style w:type="character" w:customStyle="1" w:styleId="Nadpis5Char">
    <w:name w:val="Nadpis 5 Char"/>
    <w:basedOn w:val="Standardnpsmoodstavce"/>
    <w:link w:val="Nadpis5"/>
    <w:rsid w:val="00302D0F"/>
    <w:rPr>
      <w:rFonts w:ascii="Times New Roman" w:eastAsiaTheme="majorEastAsia" w:hAnsi="Times New Roman" w:cstheme="majorBidi"/>
      <w:b/>
      <w:bCs/>
      <w:i/>
      <w:iCs/>
      <w:sz w:val="26"/>
      <w:szCs w:val="26"/>
      <w:lang w:eastAsia="cs-CZ"/>
    </w:rPr>
  </w:style>
  <w:style w:type="character" w:customStyle="1" w:styleId="Nadpis6Char">
    <w:name w:val="Nadpis 6 Char"/>
    <w:basedOn w:val="Standardnpsmoodstavce"/>
    <w:link w:val="Nadpis6"/>
    <w:uiPriority w:val="9"/>
    <w:semiHidden/>
    <w:rsid w:val="00302D0F"/>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02D0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02D0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02D0F"/>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302D0F"/>
    <w:pPr>
      <w:spacing w:line="240" w:lineRule="auto"/>
    </w:pPr>
    <w:rPr>
      <w:b/>
      <w:bCs/>
      <w:color w:val="4F81BD" w:themeColor="accent1"/>
      <w:sz w:val="18"/>
      <w:szCs w:val="18"/>
    </w:rPr>
  </w:style>
  <w:style w:type="paragraph" w:styleId="Nzev">
    <w:name w:val="Title"/>
    <w:basedOn w:val="Normln"/>
    <w:next w:val="Normln"/>
    <w:link w:val="NzevChar"/>
    <w:uiPriority w:val="10"/>
    <w:qFormat/>
    <w:rsid w:val="00302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02D0F"/>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302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302D0F"/>
    <w:rPr>
      <w:rFonts w:asciiTheme="majorHAnsi" w:eastAsiaTheme="majorEastAsia" w:hAnsiTheme="majorHAnsi" w:cstheme="majorBidi"/>
      <w:i/>
      <w:iCs/>
      <w:color w:val="4F81BD" w:themeColor="accent1"/>
      <w:spacing w:val="15"/>
      <w:sz w:val="24"/>
      <w:szCs w:val="24"/>
    </w:rPr>
  </w:style>
  <w:style w:type="character" w:styleId="Siln">
    <w:name w:val="Strong"/>
    <w:uiPriority w:val="22"/>
    <w:qFormat/>
    <w:rsid w:val="00302D0F"/>
    <w:rPr>
      <w:b/>
      <w:bCs/>
    </w:rPr>
  </w:style>
  <w:style w:type="character" w:styleId="Zvraznn">
    <w:name w:val="Emphasis"/>
    <w:uiPriority w:val="20"/>
    <w:qFormat/>
    <w:rsid w:val="00302D0F"/>
    <w:rPr>
      <w:i/>
      <w:iCs/>
    </w:rPr>
  </w:style>
  <w:style w:type="character" w:customStyle="1" w:styleId="BezmezerChar">
    <w:name w:val="Bez mezer Char"/>
    <w:basedOn w:val="Standardnpsmoodstavce"/>
    <w:link w:val="Bezmezer"/>
    <w:uiPriority w:val="1"/>
    <w:rsid w:val="00302D0F"/>
    <w:rPr>
      <w:rFonts w:ascii="Times New Roman" w:hAnsi="Times New Roman"/>
      <w:sz w:val="24"/>
      <w:szCs w:val="24"/>
      <w:lang w:val="sk-SK" w:eastAsia="sk-SK"/>
    </w:rPr>
  </w:style>
  <w:style w:type="character" w:customStyle="1" w:styleId="OdstavecseseznamemChar">
    <w:name w:val="Odstavec se seznamem Char"/>
    <w:basedOn w:val="Standardnpsmoodstavce"/>
    <w:link w:val="Odstavecseseznamem"/>
    <w:uiPriority w:val="34"/>
    <w:rsid w:val="00302D0F"/>
  </w:style>
  <w:style w:type="paragraph" w:styleId="Citt">
    <w:name w:val="Quote"/>
    <w:basedOn w:val="Normln"/>
    <w:next w:val="Normln"/>
    <w:link w:val="CittChar"/>
    <w:uiPriority w:val="29"/>
    <w:qFormat/>
    <w:rsid w:val="00302D0F"/>
    <w:rPr>
      <w:i/>
      <w:iCs/>
      <w:color w:val="000000" w:themeColor="text1"/>
    </w:rPr>
  </w:style>
  <w:style w:type="character" w:customStyle="1" w:styleId="CittChar">
    <w:name w:val="Citát Char"/>
    <w:basedOn w:val="Standardnpsmoodstavce"/>
    <w:link w:val="Citt"/>
    <w:uiPriority w:val="29"/>
    <w:rsid w:val="00302D0F"/>
    <w:rPr>
      <w:i/>
      <w:iCs/>
      <w:color w:val="000000" w:themeColor="text1"/>
    </w:rPr>
  </w:style>
  <w:style w:type="paragraph" w:styleId="Vrazncitt">
    <w:name w:val="Intense Quote"/>
    <w:basedOn w:val="Normln"/>
    <w:next w:val="Normln"/>
    <w:link w:val="VrazncittChar"/>
    <w:uiPriority w:val="30"/>
    <w:qFormat/>
    <w:rsid w:val="00302D0F"/>
    <w:pPr>
      <w:pBdr>
        <w:bottom w:val="single" w:sz="4" w:space="4" w:color="4F81BD" w:themeColor="accent1"/>
      </w:pBdr>
      <w:spacing w:before="200" w:after="280"/>
      <w:ind w:left="936" w:right="936"/>
    </w:pPr>
    <w:rPr>
      <w:rFonts w:eastAsiaTheme="minorEastAsia"/>
      <w:b/>
      <w:bCs/>
      <w:i/>
      <w:iCs/>
      <w:color w:val="4F81BD" w:themeColor="accent1"/>
      <w:lang w:eastAsia="cs-CZ"/>
    </w:rPr>
  </w:style>
  <w:style w:type="character" w:customStyle="1" w:styleId="VrazncittChar">
    <w:name w:val="Výrazný citát Char"/>
    <w:basedOn w:val="Standardnpsmoodstavce"/>
    <w:link w:val="Vrazncitt"/>
    <w:uiPriority w:val="30"/>
    <w:rsid w:val="00302D0F"/>
    <w:rPr>
      <w:rFonts w:eastAsiaTheme="minorEastAsia"/>
      <w:b/>
      <w:bCs/>
      <w:i/>
      <w:iCs/>
      <w:color w:val="4F81BD" w:themeColor="accent1"/>
      <w:lang w:eastAsia="cs-CZ"/>
    </w:rPr>
  </w:style>
  <w:style w:type="character" w:styleId="Zdraznnjemn">
    <w:name w:val="Subtle Emphasis"/>
    <w:uiPriority w:val="19"/>
    <w:qFormat/>
    <w:rsid w:val="00302D0F"/>
    <w:rPr>
      <w:i/>
      <w:iCs/>
      <w:color w:val="808080" w:themeColor="text1" w:themeTint="7F"/>
    </w:rPr>
  </w:style>
  <w:style w:type="character" w:styleId="Zdraznnintenzivn">
    <w:name w:val="Intense Emphasis"/>
    <w:uiPriority w:val="21"/>
    <w:qFormat/>
    <w:rsid w:val="00302D0F"/>
    <w:rPr>
      <w:b/>
      <w:bCs/>
      <w:i/>
      <w:iCs/>
      <w:color w:val="4F81BD" w:themeColor="accent1"/>
    </w:rPr>
  </w:style>
  <w:style w:type="character" w:styleId="Odkazjemn">
    <w:name w:val="Subtle Reference"/>
    <w:basedOn w:val="Standardnpsmoodstavce"/>
    <w:uiPriority w:val="31"/>
    <w:qFormat/>
    <w:rsid w:val="00302D0F"/>
    <w:rPr>
      <w:smallCaps/>
      <w:color w:val="C0504D" w:themeColor="accent2"/>
      <w:u w:val="single"/>
    </w:rPr>
  </w:style>
  <w:style w:type="character" w:styleId="Odkazintenzivn">
    <w:name w:val="Intense Reference"/>
    <w:uiPriority w:val="32"/>
    <w:qFormat/>
    <w:rsid w:val="00302D0F"/>
    <w:rPr>
      <w:b/>
      <w:bCs/>
      <w:smallCaps/>
      <w:color w:val="C0504D" w:themeColor="accent2"/>
      <w:spacing w:val="5"/>
      <w:u w:val="single"/>
    </w:rPr>
  </w:style>
  <w:style w:type="character" w:styleId="Nzevknihy">
    <w:name w:val="Book Title"/>
    <w:basedOn w:val="Standardnpsmoodstavce"/>
    <w:uiPriority w:val="33"/>
    <w:qFormat/>
    <w:rsid w:val="00302D0F"/>
    <w:rPr>
      <w:b/>
      <w:bCs/>
      <w:smallCaps/>
      <w:spacing w:val="5"/>
    </w:rPr>
  </w:style>
  <w:style w:type="paragraph" w:styleId="Nadpisobsahu">
    <w:name w:val="TOC Heading"/>
    <w:basedOn w:val="Nadpis1"/>
    <w:next w:val="Normln"/>
    <w:uiPriority w:val="39"/>
    <w:semiHidden/>
    <w:unhideWhenUsed/>
    <w:qFormat/>
    <w:rsid w:val="00302D0F"/>
    <w:pPr>
      <w:keepLines/>
      <w:spacing w:before="480" w:line="276" w:lineRule="auto"/>
      <w:outlineLvl w:val="9"/>
    </w:pPr>
    <w:rPr>
      <w:rFonts w:asciiTheme="majorHAnsi" w:hAnsiTheme="majorHAnsi"/>
      <w:color w:val="365F91" w:themeColor="accent1" w:themeShade="BF"/>
      <w:sz w:val="28"/>
      <w:szCs w:val="28"/>
      <w:lang w:eastAsia="en-US"/>
    </w:rPr>
  </w:style>
  <w:style w:type="table" w:styleId="Mkatabulky">
    <w:name w:val="Table Grid"/>
    <w:basedOn w:val="Normlntabulka"/>
    <w:uiPriority w:val="59"/>
    <w:rsid w:val="006E3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E3D8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3D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1650</Words>
  <Characters>9737</Characters>
  <Application>Microsoft Office Word</Application>
  <DocSecurity>4</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Sedlo</dc:creator>
  <cp:lastModifiedBy>Petr Gondáš</cp:lastModifiedBy>
  <cp:revision>2</cp:revision>
  <dcterms:created xsi:type="dcterms:W3CDTF">2017-09-05T14:28:00Z</dcterms:created>
  <dcterms:modified xsi:type="dcterms:W3CDTF">2017-09-05T14:28:00Z</dcterms:modified>
</cp:coreProperties>
</file>