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9EB" w:rsidRDefault="00B87FBD" w:rsidP="00B87FBD">
      <w:pPr>
        <w:jc w:val="center"/>
      </w:pPr>
      <w:r>
        <w:rPr>
          <w:b/>
          <w:sz w:val="28"/>
          <w:szCs w:val="28"/>
        </w:rPr>
        <w:t>Por</w:t>
      </w:r>
      <w:bookmarkStart w:id="0" w:name="_GoBack"/>
      <w:bookmarkEnd w:id="0"/>
      <w:r>
        <w:rPr>
          <w:b/>
          <w:sz w:val="28"/>
          <w:szCs w:val="28"/>
        </w:rPr>
        <w:t>ovnávací degustace PIWI a evropských odrůd ve Valticích</w:t>
      </w:r>
    </w:p>
    <w:p w:rsidR="00B87FBD" w:rsidRDefault="00B87FBD" w:rsidP="00B87FBD">
      <w:pPr>
        <w:jc w:val="center"/>
      </w:pPr>
      <w:r>
        <w:t>Jiří Sedlo a Pavel Herko</w:t>
      </w:r>
    </w:p>
    <w:p w:rsidR="00B87FBD" w:rsidRDefault="00B87FBD" w:rsidP="00B87FBD">
      <w:pPr>
        <w:jc w:val="both"/>
      </w:pPr>
    </w:p>
    <w:p w:rsidR="00486A7F" w:rsidRPr="00486A7F" w:rsidRDefault="00B87FBD" w:rsidP="00B87FBD">
      <w:pPr>
        <w:jc w:val="both"/>
        <w:rPr>
          <w:i/>
        </w:rPr>
      </w:pPr>
      <w:r w:rsidRPr="00486A7F">
        <w:rPr>
          <w:i/>
        </w:rPr>
        <w:t>Ve čtvrtek 6. 6. 2018 v Chateau Valtice</w:t>
      </w:r>
      <w:r w:rsidR="00C201AA" w:rsidRPr="00486A7F">
        <w:rPr>
          <w:i/>
        </w:rPr>
        <w:t>, a.s.</w:t>
      </w:r>
      <w:r w:rsidRPr="00486A7F">
        <w:rPr>
          <w:i/>
        </w:rPr>
        <w:t xml:space="preserve"> </w:t>
      </w:r>
      <w:r w:rsidR="00C201AA" w:rsidRPr="00486A7F">
        <w:rPr>
          <w:i/>
        </w:rPr>
        <w:t xml:space="preserve">uspořádal Vinofrukt, a.s. degustaci novějších PIWI odrůd s cílem seznámit odběratele sazenic se současným stavem kvality vína těchto odrůd. Vzorky vín ze švýcarských novošlechtění </w:t>
      </w:r>
      <w:proofErr w:type="gramStart"/>
      <w:r w:rsidR="00C201AA" w:rsidRPr="00486A7F">
        <w:rPr>
          <w:i/>
        </w:rPr>
        <w:t>dodal spolupracují</w:t>
      </w:r>
      <w:proofErr w:type="gramEnd"/>
      <w:r w:rsidR="00C201AA" w:rsidRPr="00486A7F">
        <w:rPr>
          <w:i/>
        </w:rPr>
        <w:t xml:space="preserve"> podnik </w:t>
      </w:r>
      <w:proofErr w:type="spellStart"/>
      <w:r w:rsidR="00C201AA" w:rsidRPr="00486A7F">
        <w:rPr>
          <w:i/>
        </w:rPr>
        <w:t>Rebschule</w:t>
      </w:r>
      <w:proofErr w:type="spellEnd"/>
      <w:r w:rsidR="00C201AA" w:rsidRPr="00486A7F">
        <w:rPr>
          <w:i/>
        </w:rPr>
        <w:t xml:space="preserve"> Freytag, který je získal od německých vinařů</w:t>
      </w:r>
      <w:r w:rsidR="00486A7F" w:rsidRPr="00486A7F">
        <w:rPr>
          <w:i/>
        </w:rPr>
        <w:t>, jímž</w:t>
      </w:r>
      <w:r w:rsidR="00C201AA" w:rsidRPr="00486A7F">
        <w:rPr>
          <w:i/>
        </w:rPr>
        <w:t xml:space="preserve"> dodává sazenice. </w:t>
      </w:r>
      <w:r w:rsidR="00486A7F" w:rsidRPr="00486A7F">
        <w:rPr>
          <w:i/>
        </w:rPr>
        <w:t xml:space="preserve">Výjimkou byly dva vzorky Cabernetu blanc ze Chateau Valtice. </w:t>
      </w:r>
      <w:r w:rsidR="00C201AA" w:rsidRPr="00486A7F">
        <w:rPr>
          <w:i/>
        </w:rPr>
        <w:t xml:space="preserve">Vzorky vín moravských novošlechtění pocházely z podniku Vinselekt Michlovský, a.s., s výjimkou </w:t>
      </w:r>
      <w:r w:rsidR="00486A7F" w:rsidRPr="00486A7F">
        <w:rPr>
          <w:i/>
        </w:rPr>
        <w:t>jednoho vzorku Laurotu dodaného ze spolupracujícího podniku </w:t>
      </w:r>
      <w:proofErr w:type="spellStart"/>
      <w:r w:rsidR="00486A7F" w:rsidRPr="00486A7F">
        <w:rPr>
          <w:i/>
        </w:rPr>
        <w:t>Rebschule</w:t>
      </w:r>
      <w:proofErr w:type="spellEnd"/>
      <w:r w:rsidR="00486A7F" w:rsidRPr="00486A7F">
        <w:rPr>
          <w:i/>
        </w:rPr>
        <w:t xml:space="preserve"> Freytag, jenž některé moravské odrůdy množí pro Německo a další státy EU. Evropské odrůdy pocházely z podniku Chateau Valtice.</w:t>
      </w:r>
    </w:p>
    <w:p w:rsidR="00B87FBD" w:rsidRPr="00B87FBD" w:rsidRDefault="00486A7F" w:rsidP="008477FE">
      <w:pPr>
        <w:jc w:val="both"/>
      </w:pPr>
      <w:r>
        <w:t xml:space="preserve">Celkem 13 vinařů hodnotilo 29 vzorků </w:t>
      </w:r>
      <w:r w:rsidR="00AD78C9">
        <w:t xml:space="preserve">odrůdových tichých </w:t>
      </w:r>
      <w:r>
        <w:t xml:space="preserve">vín formou zakryté degustace. </w:t>
      </w:r>
      <w:r w:rsidR="00AD78C9">
        <w:t xml:space="preserve">Z bílých PIWI-odrůd byly hodnoceny Cabernet blanc (5 vzorků), </w:t>
      </w:r>
      <w:proofErr w:type="spellStart"/>
      <w:proofErr w:type="gramStart"/>
      <w:r w:rsidR="00AD78C9">
        <w:t>California</w:t>
      </w:r>
      <w:proofErr w:type="spellEnd"/>
      <w:r w:rsidR="00AD78C9">
        <w:t xml:space="preserve"> (5 ), Malverina</w:t>
      </w:r>
      <w:proofErr w:type="gramEnd"/>
      <w:r w:rsidR="00AD78C9">
        <w:t xml:space="preserve"> (1), Rinot (1), Savilon (1) a Vesna (1), z modrých PIWI-odrůd Laurot (3), Cabaret noir (2), Pinotin (2) a VB-91-26-29). Celkem tedy </w:t>
      </w:r>
      <w:r w:rsidR="00745046">
        <w:t>22 vzorků. Jako kontrola sloužilo 7 vzorků evropských odrůd: Cabernet Sauvignon</w:t>
      </w:r>
      <w:r w:rsidR="008477FE">
        <w:t xml:space="preserve"> (</w:t>
      </w:r>
      <w:r w:rsidR="008477FE" w:rsidRPr="008477FE">
        <w:t xml:space="preserve">Stříbrná medaile </w:t>
      </w:r>
      <w:proofErr w:type="spellStart"/>
      <w:r w:rsidR="008477FE" w:rsidRPr="008477FE">
        <w:t>Weinparade</w:t>
      </w:r>
      <w:proofErr w:type="spellEnd"/>
      <w:r w:rsidR="008477FE" w:rsidRPr="008477FE">
        <w:t xml:space="preserve"> </w:t>
      </w:r>
      <w:proofErr w:type="spellStart"/>
      <w:r w:rsidR="008477FE" w:rsidRPr="008477FE">
        <w:t>Poysdorf</w:t>
      </w:r>
      <w:proofErr w:type="spellEnd"/>
      <w:r w:rsidR="008477FE" w:rsidRPr="008477FE">
        <w:t xml:space="preserve"> 2017</w:t>
      </w:r>
      <w:r w:rsidR="008477FE">
        <w:t>),</w:t>
      </w:r>
      <w:r w:rsidR="00745046">
        <w:t xml:space="preserve"> Müller Thurgau, Rulandské modré, Ryzlink rýnský</w:t>
      </w:r>
      <w:r w:rsidR="008477FE">
        <w:t xml:space="preserve"> (stříbrná medaile</w:t>
      </w:r>
      <w:r w:rsidR="008477FE" w:rsidRPr="008477FE">
        <w:t xml:space="preserve"> </w:t>
      </w:r>
      <w:proofErr w:type="spellStart"/>
      <w:r w:rsidR="008477FE" w:rsidRPr="008477FE">
        <w:t>Weinparade</w:t>
      </w:r>
      <w:proofErr w:type="spellEnd"/>
      <w:r w:rsidR="008477FE" w:rsidRPr="008477FE">
        <w:t xml:space="preserve"> </w:t>
      </w:r>
      <w:proofErr w:type="spellStart"/>
      <w:r w:rsidR="008477FE" w:rsidRPr="008477FE">
        <w:t>Poysdorf</w:t>
      </w:r>
      <w:proofErr w:type="spellEnd"/>
      <w:r w:rsidR="008477FE" w:rsidRPr="008477FE">
        <w:t xml:space="preserve"> 2018</w:t>
      </w:r>
      <w:r w:rsidR="008477FE">
        <w:t>),</w:t>
      </w:r>
      <w:r w:rsidR="00745046">
        <w:t xml:space="preserve"> Sauvignon, Svatovavřinecké a Veltlínské zelené</w:t>
      </w:r>
      <w:r w:rsidR="008477FE" w:rsidRPr="008477FE">
        <w:t xml:space="preserve"> </w:t>
      </w:r>
      <w:r w:rsidR="008477FE">
        <w:t>(z</w:t>
      </w:r>
      <w:r w:rsidR="008477FE" w:rsidRPr="008477FE">
        <w:t xml:space="preserve">latá medaile Prague Wine </w:t>
      </w:r>
      <w:proofErr w:type="spellStart"/>
      <w:r w:rsidR="008477FE" w:rsidRPr="008477FE">
        <w:t>Trophy</w:t>
      </w:r>
      <w:proofErr w:type="spellEnd"/>
      <w:r w:rsidR="008477FE" w:rsidRPr="008477FE">
        <w:t xml:space="preserve"> 2017</w:t>
      </w:r>
      <w:r w:rsidR="008477FE">
        <w:t>)</w:t>
      </w:r>
      <w:r w:rsidR="00745046">
        <w:t xml:space="preserve">. </w:t>
      </w:r>
    </w:p>
    <w:p w:rsidR="00D519FC" w:rsidRDefault="00D92DEC">
      <w:r>
        <w:t>Obr. 1: Z průběhu degustace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0"/>
        <w:gridCol w:w="4738"/>
      </w:tblGrid>
      <w:tr w:rsidR="000416D8" w:rsidTr="00D92DEC">
        <w:tc>
          <w:tcPr>
            <w:tcW w:w="4606" w:type="dxa"/>
          </w:tcPr>
          <w:p w:rsidR="000416D8" w:rsidRDefault="00D92DEC">
            <w:r>
              <w:rPr>
                <w:noProof/>
                <w:lang w:eastAsia="cs-CZ"/>
              </w:rPr>
              <w:drawing>
                <wp:inline distT="0" distB="0" distL="0" distR="0" wp14:anchorId="6BA6C4A9" wp14:editId="77D36820">
                  <wp:extent cx="2796988" cy="2097708"/>
                  <wp:effectExtent l="0" t="0" r="3810" b="0"/>
                  <wp:docPr id="1" name="Obrázek 1" descr="C:\Users\Jiří\Desktop\PIWI-Fond\DSC0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iří\Desktop\PIWI-Fond\DSC027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33" cy="21002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0416D8" w:rsidRDefault="00D92DEC">
            <w:r>
              <w:rPr>
                <w:noProof/>
                <w:lang w:eastAsia="cs-CZ"/>
              </w:rPr>
              <w:drawing>
                <wp:inline distT="0" distB="0" distL="0" distR="0" wp14:anchorId="044E80A6" wp14:editId="52AA1EDE">
                  <wp:extent cx="2922494" cy="2081715"/>
                  <wp:effectExtent l="0" t="0" r="0" b="0"/>
                  <wp:docPr id="2" name="Obrázek 2" descr="C:\Users\Jiří\Desktop\PIWI-Fond\DSC02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iří\Desktop\PIWI-Fond\DSC027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3104" cy="2082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19FC" w:rsidRDefault="00D519FC"/>
    <w:p w:rsidR="00D519FC" w:rsidRDefault="00D92DEC" w:rsidP="008477FE">
      <w:pPr>
        <w:jc w:val="both"/>
      </w:pPr>
      <w:r>
        <w:t xml:space="preserve">Hlavním cílem nebylo jenom seznámení s těmito novými odrůdami a posouzení jejich kvality, ale také jejich přiřazení ke známým typům evropských odrůd. </w:t>
      </w:r>
      <w:r w:rsidR="00D12793">
        <w:t xml:space="preserve">Bylo možné každý vzorek označit jednou až dvěma odrůdami. </w:t>
      </w:r>
      <w:r>
        <w:t>Proto degustace proběhla jako zakrytá a teprve po odevzdání hodnotících listů byly jednotlivé vzorky odkryty</w:t>
      </w:r>
      <w:r w:rsidR="00D12793">
        <w:t>.</w:t>
      </w:r>
    </w:p>
    <w:p w:rsidR="00D519FC" w:rsidRDefault="00C9475F">
      <w:pPr>
        <w:rPr>
          <w:b/>
        </w:rPr>
      </w:pPr>
      <w:r w:rsidRPr="00C9475F">
        <w:rPr>
          <w:b/>
        </w:rPr>
        <w:t>Výsledky degustace</w:t>
      </w:r>
    </w:p>
    <w:p w:rsidR="00C9475F" w:rsidRPr="00C9475F" w:rsidRDefault="00C9475F" w:rsidP="008477FE">
      <w:pPr>
        <w:jc w:val="both"/>
      </w:pPr>
      <w:r w:rsidRPr="00C9475F">
        <w:t xml:space="preserve">Pro </w:t>
      </w:r>
      <w:r>
        <w:t xml:space="preserve">hodnocení jednotlivých odrůd </w:t>
      </w:r>
      <w:r w:rsidR="00D12793">
        <w:t xml:space="preserve">je omezující počet vzorků, který neumožňuje statistické vyhodnocení. Na hodnocení jednotlivých vzorků má významný vliv „ruka“ </w:t>
      </w:r>
      <w:r w:rsidR="008477FE">
        <w:t xml:space="preserve">konkrétního </w:t>
      </w:r>
      <w:proofErr w:type="spellStart"/>
      <w:r w:rsidR="00D12793">
        <w:t>enologa</w:t>
      </w:r>
      <w:proofErr w:type="spellEnd"/>
      <w:r w:rsidR="00D12793">
        <w:t>. Ale přesto si lze udělat orientační obrázek, zvláště tam, kde byly od jedné odrůdy 3 vzorky a více.</w:t>
      </w:r>
    </w:p>
    <w:p w:rsidR="00C9475F" w:rsidRPr="00D12793" w:rsidRDefault="00C9475F">
      <w:r w:rsidRPr="00D12793">
        <w:lastRenderedPageBreak/>
        <w:t>Tabulka 1: Bodové hodnocení jednotlivých vzorků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1471"/>
      </w:tblGrid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00B0F0"/>
            <w:noWrap/>
            <w:vAlign w:val="center"/>
            <w:hideMark/>
          </w:tcPr>
          <w:p w:rsidR="00D519FC" w:rsidRPr="00D519FC" w:rsidRDefault="00C9475F" w:rsidP="00C94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Název o</w:t>
            </w:r>
            <w:r w:rsidR="00D519FC" w:rsidRPr="00D519FC">
              <w:rPr>
                <w:b/>
                <w:bCs/>
              </w:rPr>
              <w:t>drůd</w:t>
            </w:r>
            <w:r>
              <w:rPr>
                <w:b/>
                <w:bCs/>
              </w:rPr>
              <w:t>y</w:t>
            </w:r>
          </w:p>
        </w:tc>
        <w:tc>
          <w:tcPr>
            <w:tcW w:w="1471" w:type="dxa"/>
            <w:shd w:val="clear" w:color="auto" w:fill="00B0F0"/>
            <w:noWrap/>
            <w:vAlign w:val="center"/>
            <w:hideMark/>
          </w:tcPr>
          <w:p w:rsidR="00D519FC" w:rsidRPr="00D519FC" w:rsidRDefault="00C9475F" w:rsidP="00C94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Bodové hodnocení</w:t>
            </w:r>
          </w:p>
        </w:tc>
      </w:tr>
      <w:tr w:rsidR="00C9475F" w:rsidRPr="00D519FC" w:rsidTr="008477FE">
        <w:trPr>
          <w:trHeight w:val="290"/>
        </w:trPr>
        <w:tc>
          <w:tcPr>
            <w:tcW w:w="5265" w:type="dxa"/>
            <w:gridSpan w:val="2"/>
            <w:shd w:val="clear" w:color="auto" w:fill="FFFF00"/>
            <w:noWrap/>
            <w:vAlign w:val="center"/>
          </w:tcPr>
          <w:p w:rsidR="00C9475F" w:rsidRPr="00D519FC" w:rsidRDefault="00C9475F" w:rsidP="00C94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Bílé odrůdy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Cabernet blanc 2015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87,6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Cabernet blanc 2016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86,2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proofErr w:type="spellStart"/>
            <w:r w:rsidRPr="00D519FC">
              <w:t>California</w:t>
            </w:r>
            <w:proofErr w:type="spellEnd"/>
            <w:r w:rsidRPr="00D519FC">
              <w:t xml:space="preserve"> 2017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86,1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proofErr w:type="spellStart"/>
            <w:r w:rsidRPr="00D519FC">
              <w:t>California</w:t>
            </w:r>
            <w:proofErr w:type="spellEnd"/>
            <w:r w:rsidRPr="00D519FC">
              <w:t xml:space="preserve"> 2016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85,8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proofErr w:type="spellStart"/>
            <w:r w:rsidRPr="00D519FC">
              <w:t>California</w:t>
            </w:r>
            <w:proofErr w:type="spellEnd"/>
            <w:r w:rsidRPr="00D519FC">
              <w:t xml:space="preserve"> 2016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84,8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proofErr w:type="spellStart"/>
            <w:r w:rsidRPr="00D519FC">
              <w:t>California</w:t>
            </w:r>
            <w:proofErr w:type="spellEnd"/>
            <w:r w:rsidRPr="00D519FC">
              <w:t xml:space="preserve"> 2012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84,8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Rinot 2015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83,6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Veltlínské zelené 2015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83,6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Sauvignon 2017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83,4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proofErr w:type="spellStart"/>
            <w:r w:rsidRPr="00D519FC">
              <w:t>California</w:t>
            </w:r>
            <w:proofErr w:type="spellEnd"/>
            <w:r w:rsidRPr="00D519FC">
              <w:t xml:space="preserve"> 2016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82,9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Cabernet blanc 2016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82,9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Vesna 2015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Malverina 2015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82,5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Ryzlink rýnský 2016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82,3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Müller Thurgau 2016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81,8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Savilon 2016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81,5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Cabernet blanc 2016 (D)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81,4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8477FE">
            <w:r w:rsidRPr="00D519FC">
              <w:t>Cabernet blanc 2017 (CZ)</w:t>
            </w:r>
          </w:p>
        </w:tc>
        <w:tc>
          <w:tcPr>
            <w:tcW w:w="1471" w:type="dxa"/>
            <w:shd w:val="clear" w:color="auto" w:fill="FFFF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78,2</w:t>
            </w:r>
          </w:p>
        </w:tc>
      </w:tr>
      <w:tr w:rsidR="00C9475F" w:rsidRPr="00D519FC" w:rsidTr="008477FE">
        <w:trPr>
          <w:trHeight w:val="290"/>
        </w:trPr>
        <w:tc>
          <w:tcPr>
            <w:tcW w:w="5265" w:type="dxa"/>
            <w:gridSpan w:val="2"/>
            <w:shd w:val="clear" w:color="auto" w:fill="FF0000"/>
            <w:noWrap/>
            <w:vAlign w:val="center"/>
            <w:hideMark/>
          </w:tcPr>
          <w:p w:rsidR="00C9475F" w:rsidRPr="00D519FC" w:rsidRDefault="00C9475F" w:rsidP="00C947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Modré odrůdy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VB-91-26-29, 2016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87,8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Pinotin 2016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85,6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Laurot 2016 (CZ)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84,8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Cabaret noir bar. 2016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84,7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Laurot 2017 (CZ)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83,8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 xml:space="preserve">Cabernet Sauvignon 2015 bar. </w:t>
            </w:r>
            <w:r w:rsidR="008477FE">
              <w:t>(</w:t>
            </w:r>
            <w:r w:rsidRPr="00D519FC">
              <w:t>CZ)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83,7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Svatovavřinecké 2015 (CZ)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83,6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Laurot 2016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83,4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Pinotin 2015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82,7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Rulandské modré 2015 (CZ)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82</w:t>
            </w:r>
            <w:r w:rsidR="00C9475F">
              <w:rPr>
                <w:b/>
                <w:bCs/>
              </w:rPr>
              <w:t>,0</w:t>
            </w:r>
          </w:p>
        </w:tc>
      </w:tr>
      <w:tr w:rsidR="00D519FC" w:rsidRPr="00D519FC" w:rsidTr="008477FE">
        <w:trPr>
          <w:trHeight w:val="290"/>
        </w:trPr>
        <w:tc>
          <w:tcPr>
            <w:tcW w:w="3794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8477FE">
            <w:r w:rsidRPr="00D519FC">
              <w:t>Cabaret noir bar. 2016 (D)</w:t>
            </w:r>
          </w:p>
        </w:tc>
        <w:tc>
          <w:tcPr>
            <w:tcW w:w="1471" w:type="dxa"/>
            <w:shd w:val="clear" w:color="auto" w:fill="FF0000"/>
            <w:noWrap/>
            <w:vAlign w:val="center"/>
            <w:hideMark/>
          </w:tcPr>
          <w:p w:rsidR="00D519FC" w:rsidRPr="00D519FC" w:rsidRDefault="00D519FC" w:rsidP="00C9475F">
            <w:pPr>
              <w:jc w:val="center"/>
              <w:rPr>
                <w:b/>
                <w:bCs/>
              </w:rPr>
            </w:pPr>
            <w:r w:rsidRPr="00D519FC">
              <w:rPr>
                <w:b/>
                <w:bCs/>
              </w:rPr>
              <w:t>80,5</w:t>
            </w:r>
          </w:p>
        </w:tc>
      </w:tr>
    </w:tbl>
    <w:p w:rsidR="00D519FC" w:rsidRDefault="00D519FC"/>
    <w:p w:rsidR="00D12793" w:rsidRDefault="008B38A9" w:rsidP="008B38A9">
      <w:pPr>
        <w:jc w:val="both"/>
      </w:pPr>
      <w:r>
        <w:t xml:space="preserve">Jak je uvedeno výše, byl hodnocen i typ vína, tedy podobnost známé evropské odrůdě. Zde může mít rovněž velký vliv vinařská oblast, ročník, kmen kvasinek a vůbec celý způsob zpracování. Na obr. 1 je uvedeno, jak hodnotili degustátoři konkrétní bílé vzorky z hlediska podobnosti evropským odrůdám. Úplné shody nedosáhli všichni nikdy, ani u evropských odrůd. </w:t>
      </w:r>
      <w:r w:rsidR="004817AD">
        <w:t xml:space="preserve">Zajímavé je, že nejvyšší shody, podle které lze usuzovat na typičnost znaků, bylo dosaženo u vzorků </w:t>
      </w:r>
      <w:proofErr w:type="spellStart"/>
      <w:r w:rsidR="004817AD">
        <w:t>California</w:t>
      </w:r>
      <w:proofErr w:type="spellEnd"/>
      <w:r w:rsidR="004817AD">
        <w:t xml:space="preserve"> 2016 (80 %), Cabernet blanc 2016 (80 %), </w:t>
      </w:r>
      <w:proofErr w:type="spellStart"/>
      <w:r w:rsidR="004817AD">
        <w:t>California</w:t>
      </w:r>
      <w:proofErr w:type="spellEnd"/>
      <w:r w:rsidR="004817AD">
        <w:t xml:space="preserve"> 2017 (71 %), Cabernet blanc 2016 (67 %), všechny jako typ Sauvignon a </w:t>
      </w:r>
      <w:r w:rsidR="008E79CB">
        <w:t xml:space="preserve">Pinotin 2016 (76 %) jako typ Cabernet Sauvignon. Z evropských odrůd byla největší shoda u odrůdy Cabernet Sauvignon (67 %), ale i zde byl Pinotin 2016 považován za typičtější než CS. Skutečný Sauvignon blanc označilo za tuto odrůdu jen 14 % degustátorů, kdežto 10 rezistentních vzorků bylo takto označeno častěji (odrůdy </w:t>
      </w:r>
      <w:proofErr w:type="spellStart"/>
      <w:r w:rsidR="008E79CB">
        <w:t>Califirnia</w:t>
      </w:r>
      <w:proofErr w:type="spellEnd"/>
      <w:r w:rsidR="008E79CB">
        <w:t>, Cabernet blanc, Rinot a Savilon).</w:t>
      </w:r>
      <w:r>
        <w:t xml:space="preserve"> </w:t>
      </w:r>
    </w:p>
    <w:p w:rsidR="008B38A9" w:rsidRDefault="00AE7776">
      <w:r>
        <w:lastRenderedPageBreak/>
        <w:t>Obr. 2: Hodnocení typu vzorků bílých vín podle evropských odrůd</w:t>
      </w:r>
    </w:p>
    <w:p w:rsidR="008B38A9" w:rsidRDefault="008B38A9">
      <w:r>
        <w:rPr>
          <w:noProof/>
          <w:lang w:eastAsia="cs-CZ"/>
        </w:rPr>
        <w:drawing>
          <wp:inline distT="0" distB="0" distL="0" distR="0" wp14:anchorId="3EE36517" wp14:editId="7882D769">
            <wp:extent cx="4811059" cy="4930588"/>
            <wp:effectExtent l="0" t="0" r="27940" b="2286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817AD" w:rsidRDefault="004817AD"/>
    <w:p w:rsidR="004817AD" w:rsidRDefault="004817AD"/>
    <w:p w:rsidR="004817AD" w:rsidRDefault="004817AD"/>
    <w:p w:rsidR="00AE7776" w:rsidRDefault="00AE7776"/>
    <w:p w:rsidR="00AE7776" w:rsidRDefault="00AE7776"/>
    <w:p w:rsidR="00AE7776" w:rsidRDefault="00AE7776"/>
    <w:p w:rsidR="00AE7776" w:rsidRDefault="00AE7776"/>
    <w:p w:rsidR="00AE7776" w:rsidRDefault="00AE7776"/>
    <w:p w:rsidR="00AE7776" w:rsidRDefault="00AE7776"/>
    <w:p w:rsidR="00AE7776" w:rsidRDefault="00AE7776"/>
    <w:p w:rsidR="00AE7776" w:rsidRDefault="00AE7776"/>
    <w:p w:rsidR="00AE7776" w:rsidRDefault="00AE7776">
      <w:r>
        <w:lastRenderedPageBreak/>
        <w:t xml:space="preserve">Obr. 3: </w:t>
      </w:r>
      <w:r w:rsidRPr="00AE7776">
        <w:t xml:space="preserve">Hodnocení typu vzorků </w:t>
      </w:r>
      <w:r>
        <w:t>červených</w:t>
      </w:r>
      <w:r w:rsidRPr="00AE7776">
        <w:t xml:space="preserve"> vín podle evropských odrůd</w:t>
      </w:r>
    </w:p>
    <w:p w:rsidR="004817AD" w:rsidRDefault="004817AD">
      <w:r>
        <w:rPr>
          <w:noProof/>
          <w:lang w:eastAsia="cs-CZ"/>
        </w:rPr>
        <w:drawing>
          <wp:inline distT="0" distB="0" distL="0" distR="0" wp14:anchorId="629C6351" wp14:editId="678E26E4">
            <wp:extent cx="4984377" cy="3633694"/>
            <wp:effectExtent l="0" t="0" r="26035" b="24130"/>
            <wp:docPr id="4" name="Graf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817AD" w:rsidRDefault="00AE7776" w:rsidP="00AE7776">
      <w:pPr>
        <w:jc w:val="both"/>
      </w:pPr>
      <w:r>
        <w:t xml:space="preserve">Přes značnou rozlišnost názorů jednotlivých degustátorů </w:t>
      </w:r>
      <w:proofErr w:type="gramStart"/>
      <w:r>
        <w:t>je</w:t>
      </w:r>
      <w:proofErr w:type="gramEnd"/>
      <w:r>
        <w:t xml:space="preserve"> mimo již uvedeného v předchozím odstavci je zajímavé, že v případě Laurotu </w:t>
      </w:r>
      <w:r w:rsidR="00B16E40">
        <w:t xml:space="preserve">2016 z Německa a Česka bylo procentické hodnocení degustátory prakticky stejně rozděleno, pouze 3 hodnotitelé ho místo Frankovky označili za Zweigeltrebe a jeden místo ostatních odrůd (zde neuvedených) za Cabernet Sauvignon. </w:t>
      </w:r>
    </w:p>
    <w:p w:rsidR="004817AD" w:rsidRDefault="00107077" w:rsidP="00107077">
      <w:pPr>
        <w:jc w:val="both"/>
      </w:pPr>
      <w:r>
        <w:t xml:space="preserve">Sloučí-li se hodnocení více zastoupených odrůd dohromady, vychází následující hodnocení </w:t>
      </w:r>
      <w:r w:rsidR="00472D02">
        <w:t xml:space="preserve">typu </w:t>
      </w:r>
      <w:r>
        <w:t>některých odrůd degustátory:</w:t>
      </w:r>
    </w:p>
    <w:p w:rsidR="00472D02" w:rsidRDefault="006A1769" w:rsidP="00107077">
      <w:pPr>
        <w:jc w:val="both"/>
      </w:pPr>
      <w:r>
        <w:t xml:space="preserve">Obr. 4: Hodnocení typu odrůd </w:t>
      </w:r>
      <w:proofErr w:type="spellStart"/>
      <w:r>
        <w:t>California</w:t>
      </w:r>
      <w:proofErr w:type="spellEnd"/>
      <w:r>
        <w:t>, Cabernet blanc a Laurot</w:t>
      </w:r>
    </w:p>
    <w:tbl>
      <w:tblPr>
        <w:tblStyle w:val="Mkatabulky"/>
        <w:tblW w:w="0" w:type="auto"/>
        <w:tblInd w:w="-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3015"/>
        <w:gridCol w:w="3132"/>
      </w:tblGrid>
      <w:tr w:rsidR="00472D02" w:rsidTr="00472D02">
        <w:tc>
          <w:tcPr>
            <w:tcW w:w="3424" w:type="dxa"/>
          </w:tcPr>
          <w:p w:rsidR="00472D02" w:rsidRDefault="00472D02" w:rsidP="00107077">
            <w:pPr>
              <w:jc w:val="both"/>
            </w:pPr>
            <w:r>
              <w:rPr>
                <w:noProof/>
                <w:lang w:eastAsia="cs-CZ"/>
              </w:rPr>
              <w:drawing>
                <wp:inline distT="0" distB="0" distL="0" distR="0" wp14:anchorId="160C976A" wp14:editId="7C1969F0">
                  <wp:extent cx="1912471" cy="1452282"/>
                  <wp:effectExtent l="0" t="0" r="12065" b="14605"/>
                  <wp:docPr id="6" name="Graf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  <w:tc>
          <w:tcPr>
            <w:tcW w:w="3080" w:type="dxa"/>
          </w:tcPr>
          <w:p w:rsidR="00472D02" w:rsidRDefault="00472D02" w:rsidP="00107077">
            <w:pPr>
              <w:jc w:val="both"/>
            </w:pPr>
            <w:r>
              <w:rPr>
                <w:noProof/>
                <w:lang w:eastAsia="cs-CZ"/>
              </w:rPr>
              <w:drawing>
                <wp:inline distT="0" distB="0" distL="0" distR="0" wp14:anchorId="76021FBD" wp14:editId="4A889C28">
                  <wp:extent cx="1840753" cy="1410447"/>
                  <wp:effectExtent l="0" t="0" r="26670" b="18415"/>
                  <wp:docPr id="7" name="Graf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</w:tc>
        <w:tc>
          <w:tcPr>
            <w:tcW w:w="2746" w:type="dxa"/>
          </w:tcPr>
          <w:p w:rsidR="00472D02" w:rsidRDefault="00472D02" w:rsidP="00107077">
            <w:pPr>
              <w:jc w:val="both"/>
            </w:pPr>
            <w:r>
              <w:rPr>
                <w:noProof/>
                <w:lang w:eastAsia="cs-CZ"/>
              </w:rPr>
              <w:drawing>
                <wp:inline distT="0" distB="0" distL="0" distR="0" wp14:anchorId="07100907" wp14:editId="0D371296">
                  <wp:extent cx="1918447" cy="1500094"/>
                  <wp:effectExtent l="0" t="0" r="24765" b="24130"/>
                  <wp:docPr id="8" name="Graf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</w:tc>
      </w:tr>
    </w:tbl>
    <w:p w:rsidR="00472D02" w:rsidRDefault="00472D02" w:rsidP="00107077">
      <w:pPr>
        <w:jc w:val="both"/>
      </w:pPr>
    </w:p>
    <w:p w:rsidR="00B16E40" w:rsidRDefault="00B16E40"/>
    <w:p w:rsidR="00B16E40" w:rsidRDefault="00B16E40"/>
    <w:sectPr w:rsidR="00B16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C0961"/>
    <w:multiLevelType w:val="multilevel"/>
    <w:tmpl w:val="FB42C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lang w:val="cs-CZ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9FC"/>
    <w:rsid w:val="00000161"/>
    <w:rsid w:val="000008B1"/>
    <w:rsid w:val="00001D28"/>
    <w:rsid w:val="00003E22"/>
    <w:rsid w:val="000104C2"/>
    <w:rsid w:val="00013065"/>
    <w:rsid w:val="0001701D"/>
    <w:rsid w:val="00022D8B"/>
    <w:rsid w:val="000236A0"/>
    <w:rsid w:val="000270FE"/>
    <w:rsid w:val="00027C82"/>
    <w:rsid w:val="00030333"/>
    <w:rsid w:val="00033854"/>
    <w:rsid w:val="00033983"/>
    <w:rsid w:val="00035B82"/>
    <w:rsid w:val="00040070"/>
    <w:rsid w:val="000416D8"/>
    <w:rsid w:val="000425B0"/>
    <w:rsid w:val="00043450"/>
    <w:rsid w:val="00043BE7"/>
    <w:rsid w:val="000454D6"/>
    <w:rsid w:val="000474AC"/>
    <w:rsid w:val="000500A2"/>
    <w:rsid w:val="0005310E"/>
    <w:rsid w:val="00053587"/>
    <w:rsid w:val="00053E23"/>
    <w:rsid w:val="000540E4"/>
    <w:rsid w:val="000573E1"/>
    <w:rsid w:val="0006005A"/>
    <w:rsid w:val="00060632"/>
    <w:rsid w:val="00060D7D"/>
    <w:rsid w:val="00062417"/>
    <w:rsid w:val="00062DCB"/>
    <w:rsid w:val="00064FC7"/>
    <w:rsid w:val="000650C9"/>
    <w:rsid w:val="00066B08"/>
    <w:rsid w:val="00070351"/>
    <w:rsid w:val="00070462"/>
    <w:rsid w:val="00072738"/>
    <w:rsid w:val="00072D6F"/>
    <w:rsid w:val="00074F4F"/>
    <w:rsid w:val="0007604F"/>
    <w:rsid w:val="000767DE"/>
    <w:rsid w:val="00076A40"/>
    <w:rsid w:val="00076D17"/>
    <w:rsid w:val="0008180B"/>
    <w:rsid w:val="00081D44"/>
    <w:rsid w:val="0008282C"/>
    <w:rsid w:val="00083AE4"/>
    <w:rsid w:val="0008796A"/>
    <w:rsid w:val="00087C00"/>
    <w:rsid w:val="000911AA"/>
    <w:rsid w:val="0009144A"/>
    <w:rsid w:val="00091965"/>
    <w:rsid w:val="00093F61"/>
    <w:rsid w:val="000A0F12"/>
    <w:rsid w:val="000A2BA4"/>
    <w:rsid w:val="000A3522"/>
    <w:rsid w:val="000A3EED"/>
    <w:rsid w:val="000A470D"/>
    <w:rsid w:val="000A49C0"/>
    <w:rsid w:val="000B011E"/>
    <w:rsid w:val="000B4183"/>
    <w:rsid w:val="000B544E"/>
    <w:rsid w:val="000B6349"/>
    <w:rsid w:val="000B767D"/>
    <w:rsid w:val="000B7779"/>
    <w:rsid w:val="000C3CE3"/>
    <w:rsid w:val="000C5F3D"/>
    <w:rsid w:val="000C71FD"/>
    <w:rsid w:val="000D1395"/>
    <w:rsid w:val="000E1D44"/>
    <w:rsid w:val="000E23B3"/>
    <w:rsid w:val="000E24C1"/>
    <w:rsid w:val="000E4DE1"/>
    <w:rsid w:val="000E6424"/>
    <w:rsid w:val="000F00D0"/>
    <w:rsid w:val="000F02E2"/>
    <w:rsid w:val="000F0A55"/>
    <w:rsid w:val="000F1F45"/>
    <w:rsid w:val="000F3121"/>
    <w:rsid w:val="000F3167"/>
    <w:rsid w:val="000F69C9"/>
    <w:rsid w:val="000F7A5B"/>
    <w:rsid w:val="000F7F9D"/>
    <w:rsid w:val="00100099"/>
    <w:rsid w:val="0010129B"/>
    <w:rsid w:val="00102294"/>
    <w:rsid w:val="00102715"/>
    <w:rsid w:val="0010360D"/>
    <w:rsid w:val="00103921"/>
    <w:rsid w:val="00103C18"/>
    <w:rsid w:val="00103E11"/>
    <w:rsid w:val="001047B5"/>
    <w:rsid w:val="001060D7"/>
    <w:rsid w:val="001066A7"/>
    <w:rsid w:val="00106B05"/>
    <w:rsid w:val="00107077"/>
    <w:rsid w:val="00117ADB"/>
    <w:rsid w:val="00121825"/>
    <w:rsid w:val="00123A95"/>
    <w:rsid w:val="0012430D"/>
    <w:rsid w:val="001248EB"/>
    <w:rsid w:val="00124FCE"/>
    <w:rsid w:val="00125DC1"/>
    <w:rsid w:val="00126044"/>
    <w:rsid w:val="00127F8D"/>
    <w:rsid w:val="00130D65"/>
    <w:rsid w:val="00132234"/>
    <w:rsid w:val="001349A3"/>
    <w:rsid w:val="001402ED"/>
    <w:rsid w:val="00141121"/>
    <w:rsid w:val="001412F1"/>
    <w:rsid w:val="0014409B"/>
    <w:rsid w:val="001445FB"/>
    <w:rsid w:val="0014476C"/>
    <w:rsid w:val="001452AC"/>
    <w:rsid w:val="00145402"/>
    <w:rsid w:val="00145FFD"/>
    <w:rsid w:val="00146880"/>
    <w:rsid w:val="001502E9"/>
    <w:rsid w:val="0015618D"/>
    <w:rsid w:val="001566C7"/>
    <w:rsid w:val="00157408"/>
    <w:rsid w:val="00157D0D"/>
    <w:rsid w:val="0016136C"/>
    <w:rsid w:val="001657FA"/>
    <w:rsid w:val="0016586E"/>
    <w:rsid w:val="00166327"/>
    <w:rsid w:val="00166440"/>
    <w:rsid w:val="00167BA9"/>
    <w:rsid w:val="00170E7B"/>
    <w:rsid w:val="00174590"/>
    <w:rsid w:val="00180338"/>
    <w:rsid w:val="00182CE6"/>
    <w:rsid w:val="0019328F"/>
    <w:rsid w:val="00193EAB"/>
    <w:rsid w:val="00194DDE"/>
    <w:rsid w:val="00195769"/>
    <w:rsid w:val="00197A89"/>
    <w:rsid w:val="001A06CE"/>
    <w:rsid w:val="001A189B"/>
    <w:rsid w:val="001A1EB6"/>
    <w:rsid w:val="001A251F"/>
    <w:rsid w:val="001A30A6"/>
    <w:rsid w:val="001A5179"/>
    <w:rsid w:val="001A5B45"/>
    <w:rsid w:val="001A6CC7"/>
    <w:rsid w:val="001A77E5"/>
    <w:rsid w:val="001A7B2B"/>
    <w:rsid w:val="001B1DD0"/>
    <w:rsid w:val="001B2AE5"/>
    <w:rsid w:val="001B46A1"/>
    <w:rsid w:val="001B4D78"/>
    <w:rsid w:val="001B4DDF"/>
    <w:rsid w:val="001B5C5B"/>
    <w:rsid w:val="001C089A"/>
    <w:rsid w:val="001C093C"/>
    <w:rsid w:val="001C0F46"/>
    <w:rsid w:val="001C2B2B"/>
    <w:rsid w:val="001C332D"/>
    <w:rsid w:val="001C374A"/>
    <w:rsid w:val="001C3BD4"/>
    <w:rsid w:val="001C506A"/>
    <w:rsid w:val="001C511F"/>
    <w:rsid w:val="001C51B4"/>
    <w:rsid w:val="001C621E"/>
    <w:rsid w:val="001C7D10"/>
    <w:rsid w:val="001D0817"/>
    <w:rsid w:val="001D180E"/>
    <w:rsid w:val="001D1B1E"/>
    <w:rsid w:val="001D37BC"/>
    <w:rsid w:val="001D673E"/>
    <w:rsid w:val="001D7FF1"/>
    <w:rsid w:val="001E32BC"/>
    <w:rsid w:val="001E3582"/>
    <w:rsid w:val="001E38D3"/>
    <w:rsid w:val="001E3E89"/>
    <w:rsid w:val="001E711D"/>
    <w:rsid w:val="001F2039"/>
    <w:rsid w:val="001F2508"/>
    <w:rsid w:val="001F37CB"/>
    <w:rsid w:val="001F38DB"/>
    <w:rsid w:val="001F6E6C"/>
    <w:rsid w:val="001F7980"/>
    <w:rsid w:val="00205841"/>
    <w:rsid w:val="002067F2"/>
    <w:rsid w:val="0021178D"/>
    <w:rsid w:val="0021253F"/>
    <w:rsid w:val="00213BED"/>
    <w:rsid w:val="00216EB2"/>
    <w:rsid w:val="00216EF1"/>
    <w:rsid w:val="00220778"/>
    <w:rsid w:val="002212D1"/>
    <w:rsid w:val="0022146D"/>
    <w:rsid w:val="00223F7D"/>
    <w:rsid w:val="00224033"/>
    <w:rsid w:val="00225BB7"/>
    <w:rsid w:val="00226318"/>
    <w:rsid w:val="00226A13"/>
    <w:rsid w:val="002271D7"/>
    <w:rsid w:val="00231B9D"/>
    <w:rsid w:val="002331E8"/>
    <w:rsid w:val="00233260"/>
    <w:rsid w:val="00233356"/>
    <w:rsid w:val="00234CA3"/>
    <w:rsid w:val="0023755F"/>
    <w:rsid w:val="00241FE7"/>
    <w:rsid w:val="00243E10"/>
    <w:rsid w:val="002454B4"/>
    <w:rsid w:val="0024759B"/>
    <w:rsid w:val="00247881"/>
    <w:rsid w:val="002478A3"/>
    <w:rsid w:val="00250A51"/>
    <w:rsid w:val="00251674"/>
    <w:rsid w:val="00252C62"/>
    <w:rsid w:val="002545FF"/>
    <w:rsid w:val="0025580C"/>
    <w:rsid w:val="0025695A"/>
    <w:rsid w:val="0025725D"/>
    <w:rsid w:val="00260580"/>
    <w:rsid w:val="00261C5B"/>
    <w:rsid w:val="00264D9A"/>
    <w:rsid w:val="00266AA3"/>
    <w:rsid w:val="0027230C"/>
    <w:rsid w:val="002747A6"/>
    <w:rsid w:val="00274E51"/>
    <w:rsid w:val="002754F8"/>
    <w:rsid w:val="002760F3"/>
    <w:rsid w:val="002762E7"/>
    <w:rsid w:val="0027647D"/>
    <w:rsid w:val="002764E2"/>
    <w:rsid w:val="00281094"/>
    <w:rsid w:val="00282F1E"/>
    <w:rsid w:val="002831F2"/>
    <w:rsid w:val="00283707"/>
    <w:rsid w:val="00283ED8"/>
    <w:rsid w:val="0028731C"/>
    <w:rsid w:val="002873BA"/>
    <w:rsid w:val="00290A33"/>
    <w:rsid w:val="00291AC2"/>
    <w:rsid w:val="002924AF"/>
    <w:rsid w:val="002975C8"/>
    <w:rsid w:val="002A15C3"/>
    <w:rsid w:val="002A16D0"/>
    <w:rsid w:val="002A19B0"/>
    <w:rsid w:val="002A23BF"/>
    <w:rsid w:val="002A346D"/>
    <w:rsid w:val="002A5D40"/>
    <w:rsid w:val="002A664F"/>
    <w:rsid w:val="002A6DD0"/>
    <w:rsid w:val="002B0518"/>
    <w:rsid w:val="002B0929"/>
    <w:rsid w:val="002B1793"/>
    <w:rsid w:val="002B2636"/>
    <w:rsid w:val="002B281B"/>
    <w:rsid w:val="002B4F03"/>
    <w:rsid w:val="002B722B"/>
    <w:rsid w:val="002B773A"/>
    <w:rsid w:val="002C1909"/>
    <w:rsid w:val="002C2092"/>
    <w:rsid w:val="002C24EB"/>
    <w:rsid w:val="002C3432"/>
    <w:rsid w:val="002C403E"/>
    <w:rsid w:val="002D2D18"/>
    <w:rsid w:val="002D5268"/>
    <w:rsid w:val="002D687D"/>
    <w:rsid w:val="002E1085"/>
    <w:rsid w:val="002E510F"/>
    <w:rsid w:val="002E7070"/>
    <w:rsid w:val="002F3230"/>
    <w:rsid w:val="002F3572"/>
    <w:rsid w:val="002F3863"/>
    <w:rsid w:val="002F3E49"/>
    <w:rsid w:val="002F5C30"/>
    <w:rsid w:val="002F6369"/>
    <w:rsid w:val="002F787F"/>
    <w:rsid w:val="003011C8"/>
    <w:rsid w:val="00302683"/>
    <w:rsid w:val="00302D0F"/>
    <w:rsid w:val="00303784"/>
    <w:rsid w:val="00303EE1"/>
    <w:rsid w:val="00304499"/>
    <w:rsid w:val="00307E60"/>
    <w:rsid w:val="0031085F"/>
    <w:rsid w:val="00312568"/>
    <w:rsid w:val="003145E0"/>
    <w:rsid w:val="00316891"/>
    <w:rsid w:val="00316DC4"/>
    <w:rsid w:val="0031777F"/>
    <w:rsid w:val="00323C67"/>
    <w:rsid w:val="003242D4"/>
    <w:rsid w:val="003253E0"/>
    <w:rsid w:val="003269D6"/>
    <w:rsid w:val="00326D5B"/>
    <w:rsid w:val="00330B16"/>
    <w:rsid w:val="00332A20"/>
    <w:rsid w:val="0033375A"/>
    <w:rsid w:val="00340A41"/>
    <w:rsid w:val="003417E9"/>
    <w:rsid w:val="003435D6"/>
    <w:rsid w:val="00364BC3"/>
    <w:rsid w:val="00365087"/>
    <w:rsid w:val="00365B99"/>
    <w:rsid w:val="003671AC"/>
    <w:rsid w:val="00376207"/>
    <w:rsid w:val="00376259"/>
    <w:rsid w:val="00376A1E"/>
    <w:rsid w:val="00376EE3"/>
    <w:rsid w:val="00380913"/>
    <w:rsid w:val="00382DCB"/>
    <w:rsid w:val="00382DCD"/>
    <w:rsid w:val="00382ECB"/>
    <w:rsid w:val="00384053"/>
    <w:rsid w:val="00387A42"/>
    <w:rsid w:val="00387B5C"/>
    <w:rsid w:val="00391227"/>
    <w:rsid w:val="00392C23"/>
    <w:rsid w:val="00393F5B"/>
    <w:rsid w:val="0039732C"/>
    <w:rsid w:val="003A0542"/>
    <w:rsid w:val="003A190F"/>
    <w:rsid w:val="003A2E81"/>
    <w:rsid w:val="003A383D"/>
    <w:rsid w:val="003A400B"/>
    <w:rsid w:val="003A45F8"/>
    <w:rsid w:val="003A54A3"/>
    <w:rsid w:val="003A5A6F"/>
    <w:rsid w:val="003B1198"/>
    <w:rsid w:val="003B2E7E"/>
    <w:rsid w:val="003B4F31"/>
    <w:rsid w:val="003B7163"/>
    <w:rsid w:val="003C2222"/>
    <w:rsid w:val="003C4460"/>
    <w:rsid w:val="003C64C1"/>
    <w:rsid w:val="003D16EE"/>
    <w:rsid w:val="003D37FC"/>
    <w:rsid w:val="003D5C84"/>
    <w:rsid w:val="003D7BB8"/>
    <w:rsid w:val="003D7CD4"/>
    <w:rsid w:val="003E5858"/>
    <w:rsid w:val="003E687E"/>
    <w:rsid w:val="003E6D56"/>
    <w:rsid w:val="003E7E9F"/>
    <w:rsid w:val="003E7EDA"/>
    <w:rsid w:val="003F08D4"/>
    <w:rsid w:val="003F098D"/>
    <w:rsid w:val="003F27E0"/>
    <w:rsid w:val="003F4837"/>
    <w:rsid w:val="003F5770"/>
    <w:rsid w:val="003F580B"/>
    <w:rsid w:val="003F611E"/>
    <w:rsid w:val="003F6277"/>
    <w:rsid w:val="003F7228"/>
    <w:rsid w:val="00401696"/>
    <w:rsid w:val="00402838"/>
    <w:rsid w:val="004033FE"/>
    <w:rsid w:val="00403C1D"/>
    <w:rsid w:val="00404619"/>
    <w:rsid w:val="00404A01"/>
    <w:rsid w:val="00407FA2"/>
    <w:rsid w:val="0041093D"/>
    <w:rsid w:val="00412236"/>
    <w:rsid w:val="00412F1F"/>
    <w:rsid w:val="004136DF"/>
    <w:rsid w:val="004143FA"/>
    <w:rsid w:val="00415B26"/>
    <w:rsid w:val="00420A8B"/>
    <w:rsid w:val="00423217"/>
    <w:rsid w:val="0042767B"/>
    <w:rsid w:val="004318D8"/>
    <w:rsid w:val="00432B6C"/>
    <w:rsid w:val="00432F8F"/>
    <w:rsid w:val="00437655"/>
    <w:rsid w:val="0044144F"/>
    <w:rsid w:val="0044176B"/>
    <w:rsid w:val="00442074"/>
    <w:rsid w:val="004425D1"/>
    <w:rsid w:val="00443010"/>
    <w:rsid w:val="00444059"/>
    <w:rsid w:val="00446437"/>
    <w:rsid w:val="004465F9"/>
    <w:rsid w:val="00447366"/>
    <w:rsid w:val="004502E9"/>
    <w:rsid w:val="0045183A"/>
    <w:rsid w:val="004520C6"/>
    <w:rsid w:val="0045225E"/>
    <w:rsid w:val="00452BB7"/>
    <w:rsid w:val="00454063"/>
    <w:rsid w:val="00455B4C"/>
    <w:rsid w:val="00460283"/>
    <w:rsid w:val="00460A52"/>
    <w:rsid w:val="00461A62"/>
    <w:rsid w:val="004620F3"/>
    <w:rsid w:val="00462990"/>
    <w:rsid w:val="00463FDC"/>
    <w:rsid w:val="0046511A"/>
    <w:rsid w:val="0046512A"/>
    <w:rsid w:val="00465D54"/>
    <w:rsid w:val="00466681"/>
    <w:rsid w:val="00466A43"/>
    <w:rsid w:val="00466E04"/>
    <w:rsid w:val="00467822"/>
    <w:rsid w:val="004710D7"/>
    <w:rsid w:val="00472D02"/>
    <w:rsid w:val="004733F9"/>
    <w:rsid w:val="00474664"/>
    <w:rsid w:val="0047507B"/>
    <w:rsid w:val="00475A40"/>
    <w:rsid w:val="0047744C"/>
    <w:rsid w:val="004817AD"/>
    <w:rsid w:val="00481C4D"/>
    <w:rsid w:val="00483A59"/>
    <w:rsid w:val="00483BE4"/>
    <w:rsid w:val="004841D8"/>
    <w:rsid w:val="0048599C"/>
    <w:rsid w:val="0048687B"/>
    <w:rsid w:val="00486A7F"/>
    <w:rsid w:val="00490018"/>
    <w:rsid w:val="004950F5"/>
    <w:rsid w:val="0049598A"/>
    <w:rsid w:val="00495CB4"/>
    <w:rsid w:val="004A2CA1"/>
    <w:rsid w:val="004A3973"/>
    <w:rsid w:val="004A3AC6"/>
    <w:rsid w:val="004A3BA0"/>
    <w:rsid w:val="004A3E40"/>
    <w:rsid w:val="004A5770"/>
    <w:rsid w:val="004A580E"/>
    <w:rsid w:val="004A6255"/>
    <w:rsid w:val="004B0A63"/>
    <w:rsid w:val="004B0B21"/>
    <w:rsid w:val="004B2406"/>
    <w:rsid w:val="004B3C65"/>
    <w:rsid w:val="004B4296"/>
    <w:rsid w:val="004B539A"/>
    <w:rsid w:val="004B6939"/>
    <w:rsid w:val="004C08BF"/>
    <w:rsid w:val="004C2E0C"/>
    <w:rsid w:val="004C4CD5"/>
    <w:rsid w:val="004C5B0A"/>
    <w:rsid w:val="004C6049"/>
    <w:rsid w:val="004C73B2"/>
    <w:rsid w:val="004D1C25"/>
    <w:rsid w:val="004D32C8"/>
    <w:rsid w:val="004D3B9A"/>
    <w:rsid w:val="004D3E1A"/>
    <w:rsid w:val="004D3E40"/>
    <w:rsid w:val="004D4AB9"/>
    <w:rsid w:val="004D6ED3"/>
    <w:rsid w:val="004D7209"/>
    <w:rsid w:val="004E032D"/>
    <w:rsid w:val="004E1470"/>
    <w:rsid w:val="004E48C3"/>
    <w:rsid w:val="004E595A"/>
    <w:rsid w:val="004E5F7C"/>
    <w:rsid w:val="004E65F4"/>
    <w:rsid w:val="004E7282"/>
    <w:rsid w:val="004F1780"/>
    <w:rsid w:val="004F1F8A"/>
    <w:rsid w:val="004F2BD8"/>
    <w:rsid w:val="004F476D"/>
    <w:rsid w:val="004F5133"/>
    <w:rsid w:val="0050100E"/>
    <w:rsid w:val="0050104A"/>
    <w:rsid w:val="00505705"/>
    <w:rsid w:val="005057C7"/>
    <w:rsid w:val="005074DB"/>
    <w:rsid w:val="00511783"/>
    <w:rsid w:val="005117D5"/>
    <w:rsid w:val="005150D4"/>
    <w:rsid w:val="0051566D"/>
    <w:rsid w:val="00517B51"/>
    <w:rsid w:val="00524689"/>
    <w:rsid w:val="00526874"/>
    <w:rsid w:val="00527351"/>
    <w:rsid w:val="005279AA"/>
    <w:rsid w:val="00530AA1"/>
    <w:rsid w:val="0053213D"/>
    <w:rsid w:val="00533597"/>
    <w:rsid w:val="005363FE"/>
    <w:rsid w:val="005364C5"/>
    <w:rsid w:val="00536527"/>
    <w:rsid w:val="0054098E"/>
    <w:rsid w:val="005428D3"/>
    <w:rsid w:val="005456DC"/>
    <w:rsid w:val="00545713"/>
    <w:rsid w:val="00546F85"/>
    <w:rsid w:val="00547A2C"/>
    <w:rsid w:val="005502B6"/>
    <w:rsid w:val="00552CAC"/>
    <w:rsid w:val="00553AD3"/>
    <w:rsid w:val="00555FA6"/>
    <w:rsid w:val="0055717C"/>
    <w:rsid w:val="0056074F"/>
    <w:rsid w:val="005613BD"/>
    <w:rsid w:val="005626E8"/>
    <w:rsid w:val="0056300D"/>
    <w:rsid w:val="005649C2"/>
    <w:rsid w:val="00573673"/>
    <w:rsid w:val="0057668B"/>
    <w:rsid w:val="005769FF"/>
    <w:rsid w:val="005775D2"/>
    <w:rsid w:val="0058262D"/>
    <w:rsid w:val="0058371E"/>
    <w:rsid w:val="00584A54"/>
    <w:rsid w:val="00584CB3"/>
    <w:rsid w:val="00586B07"/>
    <w:rsid w:val="00590DE5"/>
    <w:rsid w:val="00592CE9"/>
    <w:rsid w:val="00594B35"/>
    <w:rsid w:val="00596367"/>
    <w:rsid w:val="005A4331"/>
    <w:rsid w:val="005A4B15"/>
    <w:rsid w:val="005A4EBF"/>
    <w:rsid w:val="005A6D85"/>
    <w:rsid w:val="005A73C9"/>
    <w:rsid w:val="005B068E"/>
    <w:rsid w:val="005B3FE7"/>
    <w:rsid w:val="005B433B"/>
    <w:rsid w:val="005B434F"/>
    <w:rsid w:val="005B5DDF"/>
    <w:rsid w:val="005B71FB"/>
    <w:rsid w:val="005B7F7F"/>
    <w:rsid w:val="005C1513"/>
    <w:rsid w:val="005C1625"/>
    <w:rsid w:val="005C4359"/>
    <w:rsid w:val="005C4683"/>
    <w:rsid w:val="005C4935"/>
    <w:rsid w:val="005C4F19"/>
    <w:rsid w:val="005C5168"/>
    <w:rsid w:val="005C6942"/>
    <w:rsid w:val="005C6FA0"/>
    <w:rsid w:val="005D2916"/>
    <w:rsid w:val="005D2ADC"/>
    <w:rsid w:val="005D326A"/>
    <w:rsid w:val="005D65AA"/>
    <w:rsid w:val="005D7BBF"/>
    <w:rsid w:val="005E09AE"/>
    <w:rsid w:val="005E1FE7"/>
    <w:rsid w:val="005E3771"/>
    <w:rsid w:val="005F0049"/>
    <w:rsid w:val="005F1ACA"/>
    <w:rsid w:val="005F24E0"/>
    <w:rsid w:val="005F3C74"/>
    <w:rsid w:val="005F4590"/>
    <w:rsid w:val="005F5106"/>
    <w:rsid w:val="0060117E"/>
    <w:rsid w:val="006022A9"/>
    <w:rsid w:val="00602D61"/>
    <w:rsid w:val="0060332A"/>
    <w:rsid w:val="00604099"/>
    <w:rsid w:val="0060789C"/>
    <w:rsid w:val="006120A9"/>
    <w:rsid w:val="00612932"/>
    <w:rsid w:val="00613E15"/>
    <w:rsid w:val="0061444F"/>
    <w:rsid w:val="00614868"/>
    <w:rsid w:val="00617D89"/>
    <w:rsid w:val="006221EE"/>
    <w:rsid w:val="0062297C"/>
    <w:rsid w:val="006245E6"/>
    <w:rsid w:val="006272D4"/>
    <w:rsid w:val="00630FBB"/>
    <w:rsid w:val="006329F1"/>
    <w:rsid w:val="00633572"/>
    <w:rsid w:val="00634048"/>
    <w:rsid w:val="0063421B"/>
    <w:rsid w:val="00636587"/>
    <w:rsid w:val="00636F48"/>
    <w:rsid w:val="006427E9"/>
    <w:rsid w:val="00643C00"/>
    <w:rsid w:val="00643EFA"/>
    <w:rsid w:val="0064430D"/>
    <w:rsid w:val="00645F6D"/>
    <w:rsid w:val="00651098"/>
    <w:rsid w:val="00652093"/>
    <w:rsid w:val="006525E8"/>
    <w:rsid w:val="00653B68"/>
    <w:rsid w:val="0065447F"/>
    <w:rsid w:val="006549C0"/>
    <w:rsid w:val="00654B8A"/>
    <w:rsid w:val="0065566D"/>
    <w:rsid w:val="006556EE"/>
    <w:rsid w:val="00655D73"/>
    <w:rsid w:val="00661D22"/>
    <w:rsid w:val="00661EB8"/>
    <w:rsid w:val="0066256A"/>
    <w:rsid w:val="006676A7"/>
    <w:rsid w:val="00670D35"/>
    <w:rsid w:val="0067163E"/>
    <w:rsid w:val="00671EA5"/>
    <w:rsid w:val="00673942"/>
    <w:rsid w:val="00673ED3"/>
    <w:rsid w:val="00675EA6"/>
    <w:rsid w:val="00676A74"/>
    <w:rsid w:val="00677318"/>
    <w:rsid w:val="00677D2D"/>
    <w:rsid w:val="00680FEF"/>
    <w:rsid w:val="00681297"/>
    <w:rsid w:val="0068207A"/>
    <w:rsid w:val="006835C7"/>
    <w:rsid w:val="006845DE"/>
    <w:rsid w:val="006876A0"/>
    <w:rsid w:val="0069093F"/>
    <w:rsid w:val="00692762"/>
    <w:rsid w:val="006941FD"/>
    <w:rsid w:val="006A05C8"/>
    <w:rsid w:val="006A1769"/>
    <w:rsid w:val="006A1842"/>
    <w:rsid w:val="006A39A9"/>
    <w:rsid w:val="006A3BD6"/>
    <w:rsid w:val="006A5B49"/>
    <w:rsid w:val="006A6009"/>
    <w:rsid w:val="006A6911"/>
    <w:rsid w:val="006A6B1B"/>
    <w:rsid w:val="006A763B"/>
    <w:rsid w:val="006B1D93"/>
    <w:rsid w:val="006B237F"/>
    <w:rsid w:val="006B2F85"/>
    <w:rsid w:val="006B39FC"/>
    <w:rsid w:val="006B4509"/>
    <w:rsid w:val="006B4807"/>
    <w:rsid w:val="006B6892"/>
    <w:rsid w:val="006B7081"/>
    <w:rsid w:val="006B74A2"/>
    <w:rsid w:val="006C1436"/>
    <w:rsid w:val="006C3C4C"/>
    <w:rsid w:val="006C3D77"/>
    <w:rsid w:val="006C49FF"/>
    <w:rsid w:val="006C4CB6"/>
    <w:rsid w:val="006C6559"/>
    <w:rsid w:val="006C67E1"/>
    <w:rsid w:val="006C7852"/>
    <w:rsid w:val="006C7DE6"/>
    <w:rsid w:val="006D01C7"/>
    <w:rsid w:val="006D0D1F"/>
    <w:rsid w:val="006D22EA"/>
    <w:rsid w:val="006D6DB1"/>
    <w:rsid w:val="006E25B1"/>
    <w:rsid w:val="006E27DA"/>
    <w:rsid w:val="006E373D"/>
    <w:rsid w:val="006E4E8F"/>
    <w:rsid w:val="006E6BB1"/>
    <w:rsid w:val="006E772F"/>
    <w:rsid w:val="006F297F"/>
    <w:rsid w:val="006F3987"/>
    <w:rsid w:val="006F3E29"/>
    <w:rsid w:val="006F47ED"/>
    <w:rsid w:val="006F5917"/>
    <w:rsid w:val="007020B8"/>
    <w:rsid w:val="00705874"/>
    <w:rsid w:val="00706698"/>
    <w:rsid w:val="00713042"/>
    <w:rsid w:val="00713C7F"/>
    <w:rsid w:val="007150E6"/>
    <w:rsid w:val="00716878"/>
    <w:rsid w:val="0071717B"/>
    <w:rsid w:val="00717D41"/>
    <w:rsid w:val="0072039C"/>
    <w:rsid w:val="00730915"/>
    <w:rsid w:val="00732903"/>
    <w:rsid w:val="00733D15"/>
    <w:rsid w:val="00734628"/>
    <w:rsid w:val="007346FA"/>
    <w:rsid w:val="00737F46"/>
    <w:rsid w:val="007440E0"/>
    <w:rsid w:val="0074461D"/>
    <w:rsid w:val="00745046"/>
    <w:rsid w:val="00746C3D"/>
    <w:rsid w:val="00750426"/>
    <w:rsid w:val="00750474"/>
    <w:rsid w:val="0075176F"/>
    <w:rsid w:val="00753984"/>
    <w:rsid w:val="00754E9C"/>
    <w:rsid w:val="007556CB"/>
    <w:rsid w:val="00756E7B"/>
    <w:rsid w:val="00756E8F"/>
    <w:rsid w:val="00760E8B"/>
    <w:rsid w:val="007669C6"/>
    <w:rsid w:val="007678CA"/>
    <w:rsid w:val="00771EF6"/>
    <w:rsid w:val="00773CAB"/>
    <w:rsid w:val="0077441C"/>
    <w:rsid w:val="00777062"/>
    <w:rsid w:val="00777095"/>
    <w:rsid w:val="00780385"/>
    <w:rsid w:val="00780E5A"/>
    <w:rsid w:val="007859BB"/>
    <w:rsid w:val="0078607F"/>
    <w:rsid w:val="007866E6"/>
    <w:rsid w:val="007873B0"/>
    <w:rsid w:val="007877C4"/>
    <w:rsid w:val="00787ECE"/>
    <w:rsid w:val="00791169"/>
    <w:rsid w:val="007969AB"/>
    <w:rsid w:val="00796EB9"/>
    <w:rsid w:val="007A1ACB"/>
    <w:rsid w:val="007A2D8D"/>
    <w:rsid w:val="007A3483"/>
    <w:rsid w:val="007A519F"/>
    <w:rsid w:val="007A52AC"/>
    <w:rsid w:val="007A72B0"/>
    <w:rsid w:val="007A7BD3"/>
    <w:rsid w:val="007B01D0"/>
    <w:rsid w:val="007B1B96"/>
    <w:rsid w:val="007B46D2"/>
    <w:rsid w:val="007B58C2"/>
    <w:rsid w:val="007B5C28"/>
    <w:rsid w:val="007B70D1"/>
    <w:rsid w:val="007B7620"/>
    <w:rsid w:val="007B7D2C"/>
    <w:rsid w:val="007B7DB7"/>
    <w:rsid w:val="007C155D"/>
    <w:rsid w:val="007C2930"/>
    <w:rsid w:val="007C4936"/>
    <w:rsid w:val="007D0071"/>
    <w:rsid w:val="007D051E"/>
    <w:rsid w:val="007D16E2"/>
    <w:rsid w:val="007D1FC5"/>
    <w:rsid w:val="007D27BB"/>
    <w:rsid w:val="007D5878"/>
    <w:rsid w:val="007D792E"/>
    <w:rsid w:val="007D7C23"/>
    <w:rsid w:val="007E19EB"/>
    <w:rsid w:val="007E33CB"/>
    <w:rsid w:val="007E3483"/>
    <w:rsid w:val="007E3DB5"/>
    <w:rsid w:val="007E525F"/>
    <w:rsid w:val="007E6ABC"/>
    <w:rsid w:val="007F02B3"/>
    <w:rsid w:val="007F0D1F"/>
    <w:rsid w:val="007F0EF7"/>
    <w:rsid w:val="007F1AF6"/>
    <w:rsid w:val="007F2139"/>
    <w:rsid w:val="007F5923"/>
    <w:rsid w:val="007F60FC"/>
    <w:rsid w:val="0080061B"/>
    <w:rsid w:val="008017C0"/>
    <w:rsid w:val="00802105"/>
    <w:rsid w:val="00802F23"/>
    <w:rsid w:val="008035A2"/>
    <w:rsid w:val="008040DB"/>
    <w:rsid w:val="0080494D"/>
    <w:rsid w:val="008056C8"/>
    <w:rsid w:val="008060F9"/>
    <w:rsid w:val="0081199C"/>
    <w:rsid w:val="00817EF7"/>
    <w:rsid w:val="008212CD"/>
    <w:rsid w:val="00822298"/>
    <w:rsid w:val="008222CF"/>
    <w:rsid w:val="0082411C"/>
    <w:rsid w:val="00824E85"/>
    <w:rsid w:val="00825DA6"/>
    <w:rsid w:val="00826411"/>
    <w:rsid w:val="00827312"/>
    <w:rsid w:val="0082743B"/>
    <w:rsid w:val="008312FE"/>
    <w:rsid w:val="008317C0"/>
    <w:rsid w:val="008318EB"/>
    <w:rsid w:val="00831A3F"/>
    <w:rsid w:val="00831E98"/>
    <w:rsid w:val="00832E7F"/>
    <w:rsid w:val="0083421A"/>
    <w:rsid w:val="00842648"/>
    <w:rsid w:val="00844C99"/>
    <w:rsid w:val="008477FE"/>
    <w:rsid w:val="00850E8C"/>
    <w:rsid w:val="00851F67"/>
    <w:rsid w:val="00856245"/>
    <w:rsid w:val="00860665"/>
    <w:rsid w:val="008609D8"/>
    <w:rsid w:val="00862E9B"/>
    <w:rsid w:val="00864439"/>
    <w:rsid w:val="008645DE"/>
    <w:rsid w:val="00867C81"/>
    <w:rsid w:val="00871240"/>
    <w:rsid w:val="00871F45"/>
    <w:rsid w:val="00873113"/>
    <w:rsid w:val="00873D49"/>
    <w:rsid w:val="00873DA9"/>
    <w:rsid w:val="00874CEB"/>
    <w:rsid w:val="00874E58"/>
    <w:rsid w:val="00877320"/>
    <w:rsid w:val="00883C42"/>
    <w:rsid w:val="00883D2E"/>
    <w:rsid w:val="00885FCE"/>
    <w:rsid w:val="008903B5"/>
    <w:rsid w:val="0089135A"/>
    <w:rsid w:val="008A1188"/>
    <w:rsid w:val="008A13A6"/>
    <w:rsid w:val="008A44F4"/>
    <w:rsid w:val="008A72D2"/>
    <w:rsid w:val="008B1885"/>
    <w:rsid w:val="008B38A9"/>
    <w:rsid w:val="008B413F"/>
    <w:rsid w:val="008B46E3"/>
    <w:rsid w:val="008B74B1"/>
    <w:rsid w:val="008B7F80"/>
    <w:rsid w:val="008C001E"/>
    <w:rsid w:val="008C0DEE"/>
    <w:rsid w:val="008C2DA5"/>
    <w:rsid w:val="008C6E79"/>
    <w:rsid w:val="008C77C0"/>
    <w:rsid w:val="008D0AA1"/>
    <w:rsid w:val="008D19EB"/>
    <w:rsid w:val="008D2487"/>
    <w:rsid w:val="008D404C"/>
    <w:rsid w:val="008D41B6"/>
    <w:rsid w:val="008D6FBA"/>
    <w:rsid w:val="008D7569"/>
    <w:rsid w:val="008D759C"/>
    <w:rsid w:val="008E13B3"/>
    <w:rsid w:val="008E4A7D"/>
    <w:rsid w:val="008E534B"/>
    <w:rsid w:val="008E6015"/>
    <w:rsid w:val="008E635D"/>
    <w:rsid w:val="008E6B4B"/>
    <w:rsid w:val="008E6D30"/>
    <w:rsid w:val="008E71DE"/>
    <w:rsid w:val="008E74E4"/>
    <w:rsid w:val="008E74F7"/>
    <w:rsid w:val="008E79CB"/>
    <w:rsid w:val="008F12CF"/>
    <w:rsid w:val="008F1FD0"/>
    <w:rsid w:val="008F23F1"/>
    <w:rsid w:val="008F5431"/>
    <w:rsid w:val="008F56C7"/>
    <w:rsid w:val="008F73B3"/>
    <w:rsid w:val="008F7445"/>
    <w:rsid w:val="00901206"/>
    <w:rsid w:val="00905E1B"/>
    <w:rsid w:val="009064AB"/>
    <w:rsid w:val="009076B1"/>
    <w:rsid w:val="00911151"/>
    <w:rsid w:val="009142E3"/>
    <w:rsid w:val="00914585"/>
    <w:rsid w:val="0091582A"/>
    <w:rsid w:val="00915E6B"/>
    <w:rsid w:val="009162B3"/>
    <w:rsid w:val="0091635E"/>
    <w:rsid w:val="009206AB"/>
    <w:rsid w:val="00921BA9"/>
    <w:rsid w:val="00923F06"/>
    <w:rsid w:val="0092491A"/>
    <w:rsid w:val="00927E3B"/>
    <w:rsid w:val="00931AD5"/>
    <w:rsid w:val="00934E61"/>
    <w:rsid w:val="009464FE"/>
    <w:rsid w:val="00946AE8"/>
    <w:rsid w:val="00946DC2"/>
    <w:rsid w:val="00951972"/>
    <w:rsid w:val="00952DE2"/>
    <w:rsid w:val="00953201"/>
    <w:rsid w:val="009537F4"/>
    <w:rsid w:val="00954289"/>
    <w:rsid w:val="009546F6"/>
    <w:rsid w:val="00954F74"/>
    <w:rsid w:val="00954FE7"/>
    <w:rsid w:val="00960444"/>
    <w:rsid w:val="0096235C"/>
    <w:rsid w:val="009705AE"/>
    <w:rsid w:val="00972AE2"/>
    <w:rsid w:val="00972C05"/>
    <w:rsid w:val="009762CC"/>
    <w:rsid w:val="00977305"/>
    <w:rsid w:val="00977471"/>
    <w:rsid w:val="009775C6"/>
    <w:rsid w:val="009820F1"/>
    <w:rsid w:val="00982E19"/>
    <w:rsid w:val="009848F7"/>
    <w:rsid w:val="009863B7"/>
    <w:rsid w:val="00987AE0"/>
    <w:rsid w:val="009904F9"/>
    <w:rsid w:val="0099066C"/>
    <w:rsid w:val="0099068F"/>
    <w:rsid w:val="00991970"/>
    <w:rsid w:val="00992F14"/>
    <w:rsid w:val="00994265"/>
    <w:rsid w:val="009957BE"/>
    <w:rsid w:val="00996149"/>
    <w:rsid w:val="009967D6"/>
    <w:rsid w:val="0099723F"/>
    <w:rsid w:val="00997BA2"/>
    <w:rsid w:val="009A1A45"/>
    <w:rsid w:val="009A2ABC"/>
    <w:rsid w:val="009A65B9"/>
    <w:rsid w:val="009A6A82"/>
    <w:rsid w:val="009A7DAD"/>
    <w:rsid w:val="009B2CE6"/>
    <w:rsid w:val="009B3E65"/>
    <w:rsid w:val="009B3FC7"/>
    <w:rsid w:val="009B6370"/>
    <w:rsid w:val="009B6D23"/>
    <w:rsid w:val="009B71CE"/>
    <w:rsid w:val="009C252F"/>
    <w:rsid w:val="009C2DAA"/>
    <w:rsid w:val="009C35A6"/>
    <w:rsid w:val="009C3D93"/>
    <w:rsid w:val="009C78EF"/>
    <w:rsid w:val="009C7F16"/>
    <w:rsid w:val="009D3315"/>
    <w:rsid w:val="009D4308"/>
    <w:rsid w:val="009D465F"/>
    <w:rsid w:val="009D4830"/>
    <w:rsid w:val="009D534D"/>
    <w:rsid w:val="009E14C0"/>
    <w:rsid w:val="009E1548"/>
    <w:rsid w:val="009E23BC"/>
    <w:rsid w:val="009E5BC7"/>
    <w:rsid w:val="009E5C1B"/>
    <w:rsid w:val="009E6153"/>
    <w:rsid w:val="009E6FB1"/>
    <w:rsid w:val="009E7110"/>
    <w:rsid w:val="009F134B"/>
    <w:rsid w:val="009F18AA"/>
    <w:rsid w:val="009F1A33"/>
    <w:rsid w:val="009F5AC0"/>
    <w:rsid w:val="009F685D"/>
    <w:rsid w:val="009F751F"/>
    <w:rsid w:val="00A00561"/>
    <w:rsid w:val="00A009A0"/>
    <w:rsid w:val="00A01288"/>
    <w:rsid w:val="00A030EC"/>
    <w:rsid w:val="00A03B3D"/>
    <w:rsid w:val="00A05EEA"/>
    <w:rsid w:val="00A07CB1"/>
    <w:rsid w:val="00A07D9A"/>
    <w:rsid w:val="00A12743"/>
    <w:rsid w:val="00A144B8"/>
    <w:rsid w:val="00A17CCA"/>
    <w:rsid w:val="00A2038E"/>
    <w:rsid w:val="00A20946"/>
    <w:rsid w:val="00A20A5E"/>
    <w:rsid w:val="00A21266"/>
    <w:rsid w:val="00A250DB"/>
    <w:rsid w:val="00A27E16"/>
    <w:rsid w:val="00A305E2"/>
    <w:rsid w:val="00A3269F"/>
    <w:rsid w:val="00A32E7D"/>
    <w:rsid w:val="00A3421A"/>
    <w:rsid w:val="00A35D68"/>
    <w:rsid w:val="00A363DA"/>
    <w:rsid w:val="00A37518"/>
    <w:rsid w:val="00A423D4"/>
    <w:rsid w:val="00A42932"/>
    <w:rsid w:val="00A4451A"/>
    <w:rsid w:val="00A45037"/>
    <w:rsid w:val="00A47D84"/>
    <w:rsid w:val="00A516FA"/>
    <w:rsid w:val="00A53CC9"/>
    <w:rsid w:val="00A5440B"/>
    <w:rsid w:val="00A55446"/>
    <w:rsid w:val="00A55CC7"/>
    <w:rsid w:val="00A5652E"/>
    <w:rsid w:val="00A63C58"/>
    <w:rsid w:val="00A644AD"/>
    <w:rsid w:val="00A64C00"/>
    <w:rsid w:val="00A65045"/>
    <w:rsid w:val="00A65658"/>
    <w:rsid w:val="00A65734"/>
    <w:rsid w:val="00A70CF3"/>
    <w:rsid w:val="00A71272"/>
    <w:rsid w:val="00A72690"/>
    <w:rsid w:val="00A731C9"/>
    <w:rsid w:val="00A740E2"/>
    <w:rsid w:val="00A752BE"/>
    <w:rsid w:val="00A75505"/>
    <w:rsid w:val="00A75E9C"/>
    <w:rsid w:val="00A8143C"/>
    <w:rsid w:val="00A818D6"/>
    <w:rsid w:val="00A823E1"/>
    <w:rsid w:val="00A83051"/>
    <w:rsid w:val="00A863CC"/>
    <w:rsid w:val="00A9184E"/>
    <w:rsid w:val="00A93D4F"/>
    <w:rsid w:val="00A94707"/>
    <w:rsid w:val="00A95BBA"/>
    <w:rsid w:val="00AA1D71"/>
    <w:rsid w:val="00AA4164"/>
    <w:rsid w:val="00AA64B4"/>
    <w:rsid w:val="00AB219F"/>
    <w:rsid w:val="00AB4568"/>
    <w:rsid w:val="00AB511C"/>
    <w:rsid w:val="00AB5A66"/>
    <w:rsid w:val="00AB5F64"/>
    <w:rsid w:val="00AC1E37"/>
    <w:rsid w:val="00AC238A"/>
    <w:rsid w:val="00AC2A61"/>
    <w:rsid w:val="00AC401A"/>
    <w:rsid w:val="00AC6843"/>
    <w:rsid w:val="00AC6C0A"/>
    <w:rsid w:val="00AC7125"/>
    <w:rsid w:val="00AD316F"/>
    <w:rsid w:val="00AD3520"/>
    <w:rsid w:val="00AD445C"/>
    <w:rsid w:val="00AD4A20"/>
    <w:rsid w:val="00AD73BB"/>
    <w:rsid w:val="00AD78C9"/>
    <w:rsid w:val="00AE12E2"/>
    <w:rsid w:val="00AE14F1"/>
    <w:rsid w:val="00AE1CBE"/>
    <w:rsid w:val="00AE4259"/>
    <w:rsid w:val="00AE47F6"/>
    <w:rsid w:val="00AE50F1"/>
    <w:rsid w:val="00AE5A39"/>
    <w:rsid w:val="00AE6D44"/>
    <w:rsid w:val="00AE6E31"/>
    <w:rsid w:val="00AE7776"/>
    <w:rsid w:val="00AE777B"/>
    <w:rsid w:val="00AF0B78"/>
    <w:rsid w:val="00AF18A5"/>
    <w:rsid w:val="00AF2757"/>
    <w:rsid w:val="00AF2AB7"/>
    <w:rsid w:val="00AF3095"/>
    <w:rsid w:val="00AF4371"/>
    <w:rsid w:val="00AF4604"/>
    <w:rsid w:val="00AF76D0"/>
    <w:rsid w:val="00B00161"/>
    <w:rsid w:val="00B015C1"/>
    <w:rsid w:val="00B03025"/>
    <w:rsid w:val="00B038EC"/>
    <w:rsid w:val="00B03B68"/>
    <w:rsid w:val="00B05AAA"/>
    <w:rsid w:val="00B069F5"/>
    <w:rsid w:val="00B06BEA"/>
    <w:rsid w:val="00B1074B"/>
    <w:rsid w:val="00B132C1"/>
    <w:rsid w:val="00B145BE"/>
    <w:rsid w:val="00B15320"/>
    <w:rsid w:val="00B15BB1"/>
    <w:rsid w:val="00B16074"/>
    <w:rsid w:val="00B16E40"/>
    <w:rsid w:val="00B17FCD"/>
    <w:rsid w:val="00B209D6"/>
    <w:rsid w:val="00B20C86"/>
    <w:rsid w:val="00B210A3"/>
    <w:rsid w:val="00B2162F"/>
    <w:rsid w:val="00B21B78"/>
    <w:rsid w:val="00B22E46"/>
    <w:rsid w:val="00B23A4F"/>
    <w:rsid w:val="00B23CE5"/>
    <w:rsid w:val="00B251DC"/>
    <w:rsid w:val="00B2605C"/>
    <w:rsid w:val="00B31C6B"/>
    <w:rsid w:val="00B3314B"/>
    <w:rsid w:val="00B355C7"/>
    <w:rsid w:val="00B41500"/>
    <w:rsid w:val="00B41DA2"/>
    <w:rsid w:val="00B4241D"/>
    <w:rsid w:val="00B44920"/>
    <w:rsid w:val="00B44972"/>
    <w:rsid w:val="00B45177"/>
    <w:rsid w:val="00B45EC5"/>
    <w:rsid w:val="00B51FAC"/>
    <w:rsid w:val="00B566AF"/>
    <w:rsid w:val="00B64064"/>
    <w:rsid w:val="00B65A3D"/>
    <w:rsid w:val="00B709A2"/>
    <w:rsid w:val="00B7296E"/>
    <w:rsid w:val="00B739AE"/>
    <w:rsid w:val="00B76DA8"/>
    <w:rsid w:val="00B77395"/>
    <w:rsid w:val="00B77D7F"/>
    <w:rsid w:val="00B8005E"/>
    <w:rsid w:val="00B802B2"/>
    <w:rsid w:val="00B80630"/>
    <w:rsid w:val="00B80AFD"/>
    <w:rsid w:val="00B80DE5"/>
    <w:rsid w:val="00B823EA"/>
    <w:rsid w:val="00B82864"/>
    <w:rsid w:val="00B83A73"/>
    <w:rsid w:val="00B85238"/>
    <w:rsid w:val="00B85952"/>
    <w:rsid w:val="00B87E89"/>
    <w:rsid w:val="00B87FBD"/>
    <w:rsid w:val="00B9061A"/>
    <w:rsid w:val="00B9104B"/>
    <w:rsid w:val="00B916AB"/>
    <w:rsid w:val="00B930A6"/>
    <w:rsid w:val="00B9789E"/>
    <w:rsid w:val="00B97F3C"/>
    <w:rsid w:val="00BA25D3"/>
    <w:rsid w:val="00BA27FC"/>
    <w:rsid w:val="00BB07B5"/>
    <w:rsid w:val="00BB1B16"/>
    <w:rsid w:val="00BB2D16"/>
    <w:rsid w:val="00BB4154"/>
    <w:rsid w:val="00BB6E1B"/>
    <w:rsid w:val="00BC19AF"/>
    <w:rsid w:val="00BC1BAC"/>
    <w:rsid w:val="00BC1F82"/>
    <w:rsid w:val="00BC3D75"/>
    <w:rsid w:val="00BC4B19"/>
    <w:rsid w:val="00BC5B94"/>
    <w:rsid w:val="00BC681D"/>
    <w:rsid w:val="00BC71ED"/>
    <w:rsid w:val="00BC7F0B"/>
    <w:rsid w:val="00BD1284"/>
    <w:rsid w:val="00BD2F51"/>
    <w:rsid w:val="00BD354F"/>
    <w:rsid w:val="00BD380B"/>
    <w:rsid w:val="00BD63DC"/>
    <w:rsid w:val="00BE3D41"/>
    <w:rsid w:val="00BE4129"/>
    <w:rsid w:val="00BE4912"/>
    <w:rsid w:val="00BE5654"/>
    <w:rsid w:val="00BE5DCD"/>
    <w:rsid w:val="00BE725E"/>
    <w:rsid w:val="00BF096D"/>
    <w:rsid w:val="00BF1B1D"/>
    <w:rsid w:val="00BF3289"/>
    <w:rsid w:val="00BF571D"/>
    <w:rsid w:val="00BF5955"/>
    <w:rsid w:val="00BF628E"/>
    <w:rsid w:val="00BF6990"/>
    <w:rsid w:val="00BF73B5"/>
    <w:rsid w:val="00BF7EF2"/>
    <w:rsid w:val="00C01533"/>
    <w:rsid w:val="00C02FEE"/>
    <w:rsid w:val="00C04222"/>
    <w:rsid w:val="00C05206"/>
    <w:rsid w:val="00C079D6"/>
    <w:rsid w:val="00C07DED"/>
    <w:rsid w:val="00C12B4D"/>
    <w:rsid w:val="00C152FC"/>
    <w:rsid w:val="00C15631"/>
    <w:rsid w:val="00C15A7C"/>
    <w:rsid w:val="00C17258"/>
    <w:rsid w:val="00C201AA"/>
    <w:rsid w:val="00C2031D"/>
    <w:rsid w:val="00C218E9"/>
    <w:rsid w:val="00C24A5C"/>
    <w:rsid w:val="00C25942"/>
    <w:rsid w:val="00C27017"/>
    <w:rsid w:val="00C27992"/>
    <w:rsid w:val="00C31BFE"/>
    <w:rsid w:val="00C323EF"/>
    <w:rsid w:val="00C3494C"/>
    <w:rsid w:val="00C36FDD"/>
    <w:rsid w:val="00C40950"/>
    <w:rsid w:val="00C40953"/>
    <w:rsid w:val="00C42D88"/>
    <w:rsid w:val="00C442D6"/>
    <w:rsid w:val="00C44EEF"/>
    <w:rsid w:val="00C46C74"/>
    <w:rsid w:val="00C504A9"/>
    <w:rsid w:val="00C53A89"/>
    <w:rsid w:val="00C53C9D"/>
    <w:rsid w:val="00C55206"/>
    <w:rsid w:val="00C5620A"/>
    <w:rsid w:val="00C576F8"/>
    <w:rsid w:val="00C60388"/>
    <w:rsid w:val="00C603FC"/>
    <w:rsid w:val="00C63D7F"/>
    <w:rsid w:val="00C64C28"/>
    <w:rsid w:val="00C662C8"/>
    <w:rsid w:val="00C716ED"/>
    <w:rsid w:val="00C71BE1"/>
    <w:rsid w:val="00C7345A"/>
    <w:rsid w:val="00C73E5C"/>
    <w:rsid w:val="00C75B42"/>
    <w:rsid w:val="00C76D16"/>
    <w:rsid w:val="00C77F56"/>
    <w:rsid w:val="00C80AD4"/>
    <w:rsid w:val="00C81AA3"/>
    <w:rsid w:val="00C82364"/>
    <w:rsid w:val="00C83AD8"/>
    <w:rsid w:val="00C84CDC"/>
    <w:rsid w:val="00C87B50"/>
    <w:rsid w:val="00C91DB8"/>
    <w:rsid w:val="00C93EC9"/>
    <w:rsid w:val="00C9423A"/>
    <w:rsid w:val="00C9475F"/>
    <w:rsid w:val="00C94B79"/>
    <w:rsid w:val="00C96C22"/>
    <w:rsid w:val="00CA0DB0"/>
    <w:rsid w:val="00CA6520"/>
    <w:rsid w:val="00CB0D35"/>
    <w:rsid w:val="00CB12B5"/>
    <w:rsid w:val="00CB29F6"/>
    <w:rsid w:val="00CB2E69"/>
    <w:rsid w:val="00CB51C6"/>
    <w:rsid w:val="00CB7700"/>
    <w:rsid w:val="00CB78DF"/>
    <w:rsid w:val="00CB7E47"/>
    <w:rsid w:val="00CC39AC"/>
    <w:rsid w:val="00CC4B29"/>
    <w:rsid w:val="00CC5758"/>
    <w:rsid w:val="00CC6044"/>
    <w:rsid w:val="00CD19DB"/>
    <w:rsid w:val="00CD1BE2"/>
    <w:rsid w:val="00CD2F7F"/>
    <w:rsid w:val="00CD46A2"/>
    <w:rsid w:val="00CD5533"/>
    <w:rsid w:val="00CD7B3B"/>
    <w:rsid w:val="00CE2BB1"/>
    <w:rsid w:val="00CE2D50"/>
    <w:rsid w:val="00CE3B18"/>
    <w:rsid w:val="00CE5381"/>
    <w:rsid w:val="00CF19E1"/>
    <w:rsid w:val="00CF4E2D"/>
    <w:rsid w:val="00CF6108"/>
    <w:rsid w:val="00CF68E3"/>
    <w:rsid w:val="00CF69EB"/>
    <w:rsid w:val="00CF6B9A"/>
    <w:rsid w:val="00D00BF4"/>
    <w:rsid w:val="00D028C2"/>
    <w:rsid w:val="00D047CE"/>
    <w:rsid w:val="00D051B8"/>
    <w:rsid w:val="00D0596C"/>
    <w:rsid w:val="00D05D73"/>
    <w:rsid w:val="00D12793"/>
    <w:rsid w:val="00D20758"/>
    <w:rsid w:val="00D219CF"/>
    <w:rsid w:val="00D22C6B"/>
    <w:rsid w:val="00D239B7"/>
    <w:rsid w:val="00D24485"/>
    <w:rsid w:val="00D248AB"/>
    <w:rsid w:val="00D262D4"/>
    <w:rsid w:val="00D26392"/>
    <w:rsid w:val="00D34956"/>
    <w:rsid w:val="00D36CCD"/>
    <w:rsid w:val="00D408B6"/>
    <w:rsid w:val="00D40D9C"/>
    <w:rsid w:val="00D41B9B"/>
    <w:rsid w:val="00D4228F"/>
    <w:rsid w:val="00D42F04"/>
    <w:rsid w:val="00D47352"/>
    <w:rsid w:val="00D476F7"/>
    <w:rsid w:val="00D50A24"/>
    <w:rsid w:val="00D50B45"/>
    <w:rsid w:val="00D5181B"/>
    <w:rsid w:val="00D519FC"/>
    <w:rsid w:val="00D5255A"/>
    <w:rsid w:val="00D5451A"/>
    <w:rsid w:val="00D54AFC"/>
    <w:rsid w:val="00D54DFF"/>
    <w:rsid w:val="00D60CFC"/>
    <w:rsid w:val="00D60E6C"/>
    <w:rsid w:val="00D63C24"/>
    <w:rsid w:val="00D63CAD"/>
    <w:rsid w:val="00D668CD"/>
    <w:rsid w:val="00D67D11"/>
    <w:rsid w:val="00D714DE"/>
    <w:rsid w:val="00D72486"/>
    <w:rsid w:val="00D72982"/>
    <w:rsid w:val="00D7377B"/>
    <w:rsid w:val="00D7590E"/>
    <w:rsid w:val="00D760DF"/>
    <w:rsid w:val="00D82469"/>
    <w:rsid w:val="00D85888"/>
    <w:rsid w:val="00D85A63"/>
    <w:rsid w:val="00D86216"/>
    <w:rsid w:val="00D87590"/>
    <w:rsid w:val="00D92DEC"/>
    <w:rsid w:val="00D936ED"/>
    <w:rsid w:val="00D94E3E"/>
    <w:rsid w:val="00D95C21"/>
    <w:rsid w:val="00D979C4"/>
    <w:rsid w:val="00DA12A9"/>
    <w:rsid w:val="00DA3C56"/>
    <w:rsid w:val="00DA518D"/>
    <w:rsid w:val="00DA7FEC"/>
    <w:rsid w:val="00DB0274"/>
    <w:rsid w:val="00DB0A42"/>
    <w:rsid w:val="00DB1A52"/>
    <w:rsid w:val="00DB52A8"/>
    <w:rsid w:val="00DB6F7D"/>
    <w:rsid w:val="00DB7104"/>
    <w:rsid w:val="00DC22A6"/>
    <w:rsid w:val="00DC2318"/>
    <w:rsid w:val="00DC671F"/>
    <w:rsid w:val="00DC785B"/>
    <w:rsid w:val="00DD0E0C"/>
    <w:rsid w:val="00DD1B2E"/>
    <w:rsid w:val="00DD1F7D"/>
    <w:rsid w:val="00DD2FD6"/>
    <w:rsid w:val="00DD3CB9"/>
    <w:rsid w:val="00DD5DF0"/>
    <w:rsid w:val="00DE1C5E"/>
    <w:rsid w:val="00DE6545"/>
    <w:rsid w:val="00DE6B4D"/>
    <w:rsid w:val="00DF124C"/>
    <w:rsid w:val="00DF124E"/>
    <w:rsid w:val="00DF21C4"/>
    <w:rsid w:val="00DF31E0"/>
    <w:rsid w:val="00DF4D57"/>
    <w:rsid w:val="00DF5C57"/>
    <w:rsid w:val="00DF5D2B"/>
    <w:rsid w:val="00DF7271"/>
    <w:rsid w:val="00DF740A"/>
    <w:rsid w:val="00DF7A04"/>
    <w:rsid w:val="00E01A72"/>
    <w:rsid w:val="00E02AA4"/>
    <w:rsid w:val="00E06921"/>
    <w:rsid w:val="00E10188"/>
    <w:rsid w:val="00E107DF"/>
    <w:rsid w:val="00E12B36"/>
    <w:rsid w:val="00E13499"/>
    <w:rsid w:val="00E14FF8"/>
    <w:rsid w:val="00E163A9"/>
    <w:rsid w:val="00E17ADF"/>
    <w:rsid w:val="00E20DEF"/>
    <w:rsid w:val="00E21152"/>
    <w:rsid w:val="00E23CAC"/>
    <w:rsid w:val="00E34353"/>
    <w:rsid w:val="00E3610E"/>
    <w:rsid w:val="00E418CC"/>
    <w:rsid w:val="00E41994"/>
    <w:rsid w:val="00E4312D"/>
    <w:rsid w:val="00E44F43"/>
    <w:rsid w:val="00E52A30"/>
    <w:rsid w:val="00E54563"/>
    <w:rsid w:val="00E54DAB"/>
    <w:rsid w:val="00E552E6"/>
    <w:rsid w:val="00E60106"/>
    <w:rsid w:val="00E61296"/>
    <w:rsid w:val="00E625AE"/>
    <w:rsid w:val="00E63637"/>
    <w:rsid w:val="00E70B6F"/>
    <w:rsid w:val="00E715AB"/>
    <w:rsid w:val="00E71E54"/>
    <w:rsid w:val="00E72AD1"/>
    <w:rsid w:val="00E72AF1"/>
    <w:rsid w:val="00E736B5"/>
    <w:rsid w:val="00E74169"/>
    <w:rsid w:val="00E74BD4"/>
    <w:rsid w:val="00E750B6"/>
    <w:rsid w:val="00E755DB"/>
    <w:rsid w:val="00E77E67"/>
    <w:rsid w:val="00E836DC"/>
    <w:rsid w:val="00E85D26"/>
    <w:rsid w:val="00E900B3"/>
    <w:rsid w:val="00E908DB"/>
    <w:rsid w:val="00E951BD"/>
    <w:rsid w:val="00E95BFB"/>
    <w:rsid w:val="00E967D1"/>
    <w:rsid w:val="00EA0EE4"/>
    <w:rsid w:val="00EA37D0"/>
    <w:rsid w:val="00EA3E55"/>
    <w:rsid w:val="00EA5837"/>
    <w:rsid w:val="00EA66DA"/>
    <w:rsid w:val="00EA7E6B"/>
    <w:rsid w:val="00EB21FE"/>
    <w:rsid w:val="00EB6FAD"/>
    <w:rsid w:val="00EB74E2"/>
    <w:rsid w:val="00EB74FA"/>
    <w:rsid w:val="00EC17E4"/>
    <w:rsid w:val="00EC1C41"/>
    <w:rsid w:val="00EC25DD"/>
    <w:rsid w:val="00EC2933"/>
    <w:rsid w:val="00ED04D1"/>
    <w:rsid w:val="00ED071F"/>
    <w:rsid w:val="00ED34CA"/>
    <w:rsid w:val="00ED3B53"/>
    <w:rsid w:val="00EE0078"/>
    <w:rsid w:val="00EE0ECF"/>
    <w:rsid w:val="00EE1534"/>
    <w:rsid w:val="00EE331E"/>
    <w:rsid w:val="00EF31C6"/>
    <w:rsid w:val="00EF4417"/>
    <w:rsid w:val="00EF4456"/>
    <w:rsid w:val="00EF4A7D"/>
    <w:rsid w:val="00EF7F72"/>
    <w:rsid w:val="00F007AE"/>
    <w:rsid w:val="00F00ED5"/>
    <w:rsid w:val="00F0345C"/>
    <w:rsid w:val="00F04941"/>
    <w:rsid w:val="00F06664"/>
    <w:rsid w:val="00F067C3"/>
    <w:rsid w:val="00F06A2D"/>
    <w:rsid w:val="00F10388"/>
    <w:rsid w:val="00F11FC4"/>
    <w:rsid w:val="00F129F6"/>
    <w:rsid w:val="00F155B9"/>
    <w:rsid w:val="00F16068"/>
    <w:rsid w:val="00F16934"/>
    <w:rsid w:val="00F26613"/>
    <w:rsid w:val="00F268C6"/>
    <w:rsid w:val="00F271D5"/>
    <w:rsid w:val="00F31A4A"/>
    <w:rsid w:val="00F345C8"/>
    <w:rsid w:val="00F40F8C"/>
    <w:rsid w:val="00F41E8A"/>
    <w:rsid w:val="00F446E6"/>
    <w:rsid w:val="00F45D86"/>
    <w:rsid w:val="00F46BA5"/>
    <w:rsid w:val="00F47278"/>
    <w:rsid w:val="00F503A9"/>
    <w:rsid w:val="00F521CB"/>
    <w:rsid w:val="00F52FFD"/>
    <w:rsid w:val="00F53AD6"/>
    <w:rsid w:val="00F54466"/>
    <w:rsid w:val="00F57B73"/>
    <w:rsid w:val="00F601A3"/>
    <w:rsid w:val="00F62F7F"/>
    <w:rsid w:val="00F7104D"/>
    <w:rsid w:val="00F72EC6"/>
    <w:rsid w:val="00F7348E"/>
    <w:rsid w:val="00F73AA7"/>
    <w:rsid w:val="00F74110"/>
    <w:rsid w:val="00F75551"/>
    <w:rsid w:val="00F772F0"/>
    <w:rsid w:val="00F8023D"/>
    <w:rsid w:val="00F821EB"/>
    <w:rsid w:val="00F825B6"/>
    <w:rsid w:val="00F84A6D"/>
    <w:rsid w:val="00F85040"/>
    <w:rsid w:val="00F87170"/>
    <w:rsid w:val="00F90A0F"/>
    <w:rsid w:val="00F94A09"/>
    <w:rsid w:val="00F94B3F"/>
    <w:rsid w:val="00FA1083"/>
    <w:rsid w:val="00FA173C"/>
    <w:rsid w:val="00FA40C1"/>
    <w:rsid w:val="00FA4A2F"/>
    <w:rsid w:val="00FA5F2F"/>
    <w:rsid w:val="00FA6B31"/>
    <w:rsid w:val="00FA7168"/>
    <w:rsid w:val="00FA794A"/>
    <w:rsid w:val="00FB1EB5"/>
    <w:rsid w:val="00FB5F29"/>
    <w:rsid w:val="00FC087D"/>
    <w:rsid w:val="00FC122B"/>
    <w:rsid w:val="00FC15B9"/>
    <w:rsid w:val="00FC3AE7"/>
    <w:rsid w:val="00FC5907"/>
    <w:rsid w:val="00FC6E4F"/>
    <w:rsid w:val="00FD0490"/>
    <w:rsid w:val="00FD14C2"/>
    <w:rsid w:val="00FD2892"/>
    <w:rsid w:val="00FD377E"/>
    <w:rsid w:val="00FD3EC3"/>
    <w:rsid w:val="00FD7991"/>
    <w:rsid w:val="00FE1320"/>
    <w:rsid w:val="00FE6CF5"/>
    <w:rsid w:val="00FF007C"/>
    <w:rsid w:val="00FF09A3"/>
    <w:rsid w:val="00FF0FD3"/>
    <w:rsid w:val="00FF4359"/>
    <w:rsid w:val="00FF54C5"/>
    <w:rsid w:val="00FF5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dz-B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0F"/>
  </w:style>
  <w:style w:type="paragraph" w:styleId="Nadpis1">
    <w:name w:val="heading 1"/>
    <w:basedOn w:val="Normln"/>
    <w:next w:val="Normln"/>
    <w:link w:val="Nadpis1Char"/>
    <w:uiPriority w:val="9"/>
    <w:qFormat/>
    <w:rsid w:val="00302D0F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2D0F"/>
    <w:pPr>
      <w:keepNext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02D0F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02D0F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02D0F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D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D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D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pitola">
    <w:name w:val="Capitola"/>
    <w:basedOn w:val="Bezmezer"/>
    <w:link w:val="CapitolaChar"/>
    <w:qFormat/>
    <w:rsid w:val="00302D0F"/>
    <w:rPr>
      <w:b/>
      <w:sz w:val="28"/>
      <w:lang w:val="fr-FR"/>
    </w:rPr>
  </w:style>
  <w:style w:type="character" w:customStyle="1" w:styleId="CapitolaChar">
    <w:name w:val="Capitola Char"/>
    <w:basedOn w:val="BezmezerChar"/>
    <w:link w:val="Capitola"/>
    <w:rsid w:val="00302D0F"/>
    <w:rPr>
      <w:rFonts w:ascii="Times New Roman" w:hAnsi="Times New Roman"/>
      <w:b/>
      <w:sz w:val="28"/>
      <w:szCs w:val="24"/>
      <w:lang w:val="fr-FR" w:eastAsia="sk-SK"/>
    </w:rPr>
  </w:style>
  <w:style w:type="paragraph" w:styleId="Bezmezer">
    <w:name w:val="No Spacing"/>
    <w:link w:val="BezmezerChar"/>
    <w:uiPriority w:val="1"/>
    <w:qFormat/>
    <w:rsid w:val="00302D0F"/>
    <w:pPr>
      <w:spacing w:after="0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customStyle="1" w:styleId="podkapitola">
    <w:name w:val="podkapitola"/>
    <w:basedOn w:val="Normln"/>
    <w:link w:val="podkapitolaChar"/>
    <w:qFormat/>
    <w:rsid w:val="00302D0F"/>
    <w:pPr>
      <w:spacing w:after="0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sk-SK"/>
    </w:rPr>
  </w:style>
  <w:style w:type="character" w:customStyle="1" w:styleId="podkapitolaChar">
    <w:name w:val="podkapitola Char"/>
    <w:basedOn w:val="Standardnpsmoodstavce"/>
    <w:link w:val="podkapitola"/>
    <w:rsid w:val="00302D0F"/>
    <w:rPr>
      <w:rFonts w:ascii="Times New Roman" w:eastAsia="Times New Roman" w:hAnsi="Times New Roman" w:cs="Times New Roman"/>
      <w:b/>
      <w:i/>
      <w:sz w:val="20"/>
      <w:szCs w:val="20"/>
      <w:lang w:eastAsia="sk-SK"/>
    </w:rPr>
  </w:style>
  <w:style w:type="paragraph" w:customStyle="1" w:styleId="podpodkapitola">
    <w:name w:val="podpodkapitola"/>
    <w:basedOn w:val="Odstavecseseznamem"/>
    <w:link w:val="podpodkapitolaChar"/>
    <w:qFormat/>
    <w:rsid w:val="00302D0F"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i/>
      <w:sz w:val="20"/>
      <w:szCs w:val="24"/>
      <w:lang w:val="sk-SK" w:eastAsia="sk-SK"/>
    </w:rPr>
  </w:style>
  <w:style w:type="character" w:customStyle="1" w:styleId="podpodkapitolaChar">
    <w:name w:val="podpodkapitola Char"/>
    <w:basedOn w:val="OdstavecseseznamemChar"/>
    <w:link w:val="podpodkapitola"/>
    <w:rsid w:val="00302D0F"/>
    <w:rPr>
      <w:rFonts w:ascii="Times New Roman" w:eastAsia="Times New Roman" w:hAnsi="Times New Roman" w:cs="Times New Roman"/>
      <w:b/>
      <w:i/>
      <w:sz w:val="20"/>
      <w:szCs w:val="24"/>
      <w:lang w:val="sk-SK" w:eastAsia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302D0F"/>
    <w:pPr>
      <w:ind w:left="720"/>
      <w:contextualSpacing/>
    </w:pPr>
  </w:style>
  <w:style w:type="paragraph" w:customStyle="1" w:styleId="0">
    <w:name w:val="дисер 0"/>
    <w:basedOn w:val="Normln"/>
    <w:link w:val="00"/>
    <w:qFormat/>
    <w:rsid w:val="00302D0F"/>
    <w:pPr>
      <w:suppressAutoHyphens/>
      <w:spacing w:after="0" w:line="360" w:lineRule="auto"/>
      <w:ind w:left="-11" w:firstLine="709"/>
      <w:contextualSpacing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00">
    <w:name w:val="дисер 0 Знак"/>
    <w:basedOn w:val="Standardnpsmoodstavce"/>
    <w:link w:val="0"/>
    <w:rsid w:val="00302D0F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Nadpis1Char">
    <w:name w:val="Nadpis 1 Char"/>
    <w:basedOn w:val="Standardnpsmoodstavce"/>
    <w:link w:val="Nadpis1"/>
    <w:uiPriority w:val="9"/>
    <w:rsid w:val="00302D0F"/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02D0F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02D0F"/>
    <w:rPr>
      <w:rFonts w:ascii="Arial" w:eastAsiaTheme="majorEastAsia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02D0F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02D0F"/>
    <w:rPr>
      <w:rFonts w:ascii="Times New Roman" w:eastAsiaTheme="majorEastAsia" w:hAnsi="Times New Roman" w:cstheme="maj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D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D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D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02D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2D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2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2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02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302D0F"/>
    <w:rPr>
      <w:b/>
      <w:bCs/>
    </w:rPr>
  </w:style>
  <w:style w:type="character" w:styleId="Zvraznn">
    <w:name w:val="Emphasis"/>
    <w:uiPriority w:val="20"/>
    <w:qFormat/>
    <w:rsid w:val="00302D0F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rsid w:val="00302D0F"/>
    <w:rPr>
      <w:rFonts w:ascii="Times New Roman" w:hAnsi="Times New Roman"/>
      <w:sz w:val="24"/>
      <w:szCs w:val="24"/>
      <w:lang w:val="sk-SK" w:eastAsia="sk-SK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2D0F"/>
  </w:style>
  <w:style w:type="paragraph" w:styleId="Citt">
    <w:name w:val="Quote"/>
    <w:basedOn w:val="Normln"/>
    <w:next w:val="Normln"/>
    <w:link w:val="CittChar"/>
    <w:uiPriority w:val="29"/>
    <w:qFormat/>
    <w:rsid w:val="00302D0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02D0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D0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D0F"/>
    <w:rPr>
      <w:rFonts w:eastAsiaTheme="minorEastAsia"/>
      <w:b/>
      <w:bCs/>
      <w:i/>
      <w:iCs/>
      <w:color w:val="4F81BD" w:themeColor="accent1"/>
      <w:lang w:eastAsia="cs-CZ"/>
    </w:rPr>
  </w:style>
  <w:style w:type="character" w:styleId="Zdraznnjemn">
    <w:name w:val="Subtle Emphasis"/>
    <w:uiPriority w:val="19"/>
    <w:qFormat/>
    <w:rsid w:val="00302D0F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302D0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2D0F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302D0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02D0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2D0F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D5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D0F"/>
  </w:style>
  <w:style w:type="paragraph" w:styleId="Nadpis1">
    <w:name w:val="heading 1"/>
    <w:basedOn w:val="Normln"/>
    <w:next w:val="Normln"/>
    <w:link w:val="Nadpis1Char"/>
    <w:uiPriority w:val="9"/>
    <w:qFormat/>
    <w:rsid w:val="00302D0F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02D0F"/>
    <w:pPr>
      <w:keepNext/>
      <w:spacing w:after="0" w:line="240" w:lineRule="auto"/>
      <w:jc w:val="both"/>
      <w:outlineLvl w:val="1"/>
    </w:pPr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302D0F"/>
    <w:pPr>
      <w:keepNext/>
      <w:spacing w:before="240" w:after="60" w:line="240" w:lineRule="auto"/>
      <w:outlineLvl w:val="2"/>
    </w:pPr>
    <w:rPr>
      <w:rFonts w:ascii="Arial" w:eastAsiaTheme="majorEastAsia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302D0F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302D0F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02D0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02D0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02D0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02D0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apitola">
    <w:name w:val="Capitola"/>
    <w:basedOn w:val="Bezmezer"/>
    <w:link w:val="CapitolaChar"/>
    <w:qFormat/>
    <w:rsid w:val="00302D0F"/>
    <w:rPr>
      <w:b/>
      <w:sz w:val="28"/>
      <w:lang w:val="fr-FR"/>
    </w:rPr>
  </w:style>
  <w:style w:type="character" w:customStyle="1" w:styleId="CapitolaChar">
    <w:name w:val="Capitola Char"/>
    <w:basedOn w:val="BezmezerChar"/>
    <w:link w:val="Capitola"/>
    <w:rsid w:val="00302D0F"/>
    <w:rPr>
      <w:rFonts w:ascii="Times New Roman" w:hAnsi="Times New Roman"/>
      <w:b/>
      <w:sz w:val="28"/>
      <w:szCs w:val="24"/>
      <w:lang w:val="fr-FR" w:eastAsia="sk-SK"/>
    </w:rPr>
  </w:style>
  <w:style w:type="paragraph" w:styleId="Bezmezer">
    <w:name w:val="No Spacing"/>
    <w:link w:val="BezmezerChar"/>
    <w:uiPriority w:val="1"/>
    <w:qFormat/>
    <w:rsid w:val="00302D0F"/>
    <w:pPr>
      <w:spacing w:after="0" w:line="240" w:lineRule="auto"/>
    </w:pPr>
    <w:rPr>
      <w:rFonts w:ascii="Times New Roman" w:hAnsi="Times New Roman"/>
      <w:sz w:val="24"/>
      <w:szCs w:val="24"/>
      <w:lang w:val="sk-SK" w:eastAsia="sk-SK"/>
    </w:rPr>
  </w:style>
  <w:style w:type="paragraph" w:customStyle="1" w:styleId="podkapitola">
    <w:name w:val="podkapitola"/>
    <w:basedOn w:val="Normln"/>
    <w:link w:val="podkapitolaChar"/>
    <w:qFormat/>
    <w:rsid w:val="00302D0F"/>
    <w:pPr>
      <w:spacing w:after="0"/>
      <w:jc w:val="both"/>
    </w:pPr>
    <w:rPr>
      <w:rFonts w:ascii="Times New Roman" w:eastAsia="Times New Roman" w:hAnsi="Times New Roman" w:cs="Times New Roman"/>
      <w:b/>
      <w:i/>
      <w:sz w:val="20"/>
      <w:szCs w:val="20"/>
      <w:lang w:eastAsia="sk-SK"/>
    </w:rPr>
  </w:style>
  <w:style w:type="character" w:customStyle="1" w:styleId="podkapitolaChar">
    <w:name w:val="podkapitola Char"/>
    <w:basedOn w:val="Standardnpsmoodstavce"/>
    <w:link w:val="podkapitola"/>
    <w:rsid w:val="00302D0F"/>
    <w:rPr>
      <w:rFonts w:ascii="Times New Roman" w:eastAsia="Times New Roman" w:hAnsi="Times New Roman" w:cs="Times New Roman"/>
      <w:b/>
      <w:i/>
      <w:sz w:val="20"/>
      <w:szCs w:val="20"/>
      <w:lang w:eastAsia="sk-SK"/>
    </w:rPr>
  </w:style>
  <w:style w:type="paragraph" w:customStyle="1" w:styleId="podpodkapitola">
    <w:name w:val="podpodkapitola"/>
    <w:basedOn w:val="Odstavecseseznamem"/>
    <w:link w:val="podpodkapitolaChar"/>
    <w:qFormat/>
    <w:rsid w:val="00302D0F"/>
    <w:pPr>
      <w:spacing w:after="0" w:line="240" w:lineRule="auto"/>
      <w:ind w:left="1080" w:hanging="720"/>
    </w:pPr>
    <w:rPr>
      <w:rFonts w:ascii="Times New Roman" w:eastAsia="Times New Roman" w:hAnsi="Times New Roman" w:cs="Times New Roman"/>
      <w:b/>
      <w:i/>
      <w:sz w:val="20"/>
      <w:szCs w:val="24"/>
      <w:lang w:val="sk-SK" w:eastAsia="sk-SK"/>
    </w:rPr>
  </w:style>
  <w:style w:type="character" w:customStyle="1" w:styleId="podpodkapitolaChar">
    <w:name w:val="podpodkapitola Char"/>
    <w:basedOn w:val="OdstavecseseznamemChar"/>
    <w:link w:val="podpodkapitola"/>
    <w:rsid w:val="00302D0F"/>
    <w:rPr>
      <w:rFonts w:ascii="Times New Roman" w:eastAsia="Times New Roman" w:hAnsi="Times New Roman" w:cs="Times New Roman"/>
      <w:b/>
      <w:i/>
      <w:sz w:val="20"/>
      <w:szCs w:val="24"/>
      <w:lang w:val="sk-SK" w:eastAsia="sk-SK"/>
    </w:rPr>
  </w:style>
  <w:style w:type="paragraph" w:styleId="Odstavecseseznamem">
    <w:name w:val="List Paragraph"/>
    <w:basedOn w:val="Normln"/>
    <w:link w:val="OdstavecseseznamemChar"/>
    <w:uiPriority w:val="34"/>
    <w:qFormat/>
    <w:rsid w:val="00302D0F"/>
    <w:pPr>
      <w:ind w:left="720"/>
      <w:contextualSpacing/>
    </w:pPr>
  </w:style>
  <w:style w:type="paragraph" w:customStyle="1" w:styleId="0">
    <w:name w:val="дисер 0"/>
    <w:basedOn w:val="Normln"/>
    <w:link w:val="00"/>
    <w:qFormat/>
    <w:rsid w:val="00302D0F"/>
    <w:pPr>
      <w:suppressAutoHyphens/>
      <w:spacing w:after="0" w:line="360" w:lineRule="auto"/>
      <w:ind w:left="-11" w:firstLine="709"/>
      <w:contextualSpacing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00">
    <w:name w:val="дисер 0 Знак"/>
    <w:basedOn w:val="Standardnpsmoodstavce"/>
    <w:link w:val="0"/>
    <w:rsid w:val="00302D0F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Nadpis1Char">
    <w:name w:val="Nadpis 1 Char"/>
    <w:basedOn w:val="Standardnpsmoodstavce"/>
    <w:link w:val="Nadpis1"/>
    <w:uiPriority w:val="9"/>
    <w:rsid w:val="00302D0F"/>
    <w:rPr>
      <w:rFonts w:ascii="Times New Roman" w:eastAsiaTheme="majorEastAsia" w:hAnsi="Times New Roman" w:cstheme="majorBidi"/>
      <w:b/>
      <w:b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302D0F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302D0F"/>
    <w:rPr>
      <w:rFonts w:ascii="Arial" w:eastAsiaTheme="majorEastAsia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302D0F"/>
    <w:rPr>
      <w:rFonts w:ascii="Times New Roman" w:eastAsiaTheme="majorEastAsia" w:hAnsi="Times New Roman" w:cstheme="majorBidi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302D0F"/>
    <w:rPr>
      <w:rFonts w:ascii="Times New Roman" w:eastAsiaTheme="majorEastAsia" w:hAnsi="Times New Roman" w:cstheme="majorBidi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02D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02D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02D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02D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unhideWhenUsed/>
    <w:qFormat/>
    <w:rsid w:val="00302D0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302D0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02D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302D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302D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302D0F"/>
    <w:rPr>
      <w:b/>
      <w:bCs/>
    </w:rPr>
  </w:style>
  <w:style w:type="character" w:styleId="Zvraznn">
    <w:name w:val="Emphasis"/>
    <w:uiPriority w:val="20"/>
    <w:qFormat/>
    <w:rsid w:val="00302D0F"/>
    <w:rPr>
      <w:i/>
      <w:iCs/>
    </w:rPr>
  </w:style>
  <w:style w:type="character" w:customStyle="1" w:styleId="BezmezerChar">
    <w:name w:val="Bez mezer Char"/>
    <w:basedOn w:val="Standardnpsmoodstavce"/>
    <w:link w:val="Bezmezer"/>
    <w:uiPriority w:val="1"/>
    <w:rsid w:val="00302D0F"/>
    <w:rPr>
      <w:rFonts w:ascii="Times New Roman" w:hAnsi="Times New Roman"/>
      <w:sz w:val="24"/>
      <w:szCs w:val="24"/>
      <w:lang w:val="sk-SK" w:eastAsia="sk-SK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02D0F"/>
  </w:style>
  <w:style w:type="paragraph" w:styleId="Citt">
    <w:name w:val="Quote"/>
    <w:basedOn w:val="Normln"/>
    <w:next w:val="Normln"/>
    <w:link w:val="CittChar"/>
    <w:uiPriority w:val="29"/>
    <w:qFormat/>
    <w:rsid w:val="00302D0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302D0F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02D0F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cs-CZ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02D0F"/>
    <w:rPr>
      <w:rFonts w:eastAsiaTheme="minorEastAsia"/>
      <w:b/>
      <w:bCs/>
      <w:i/>
      <w:iCs/>
      <w:color w:val="4F81BD" w:themeColor="accent1"/>
      <w:lang w:eastAsia="cs-CZ"/>
    </w:rPr>
  </w:style>
  <w:style w:type="character" w:styleId="Zdraznnjemn">
    <w:name w:val="Subtle Emphasis"/>
    <w:uiPriority w:val="19"/>
    <w:qFormat/>
    <w:rsid w:val="00302D0F"/>
    <w:rPr>
      <w:i/>
      <w:iCs/>
      <w:color w:val="808080" w:themeColor="text1" w:themeTint="7F"/>
    </w:rPr>
  </w:style>
  <w:style w:type="character" w:styleId="Zdraznnintenzivn">
    <w:name w:val="Intense Emphasis"/>
    <w:uiPriority w:val="21"/>
    <w:qFormat/>
    <w:rsid w:val="00302D0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302D0F"/>
    <w:rPr>
      <w:smallCaps/>
      <w:color w:val="C0504D" w:themeColor="accent2"/>
      <w:u w:val="single"/>
    </w:rPr>
  </w:style>
  <w:style w:type="character" w:styleId="Odkazintenzivn">
    <w:name w:val="Intense Reference"/>
    <w:uiPriority w:val="32"/>
    <w:qFormat/>
    <w:rsid w:val="00302D0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302D0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02D0F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sz w:val="28"/>
      <w:szCs w:val="28"/>
      <w:lang w:eastAsia="en-US"/>
    </w:rPr>
  </w:style>
  <w:style w:type="table" w:styleId="Mkatabulky">
    <w:name w:val="Table Grid"/>
    <w:basedOn w:val="Normlntabulka"/>
    <w:uiPriority w:val="59"/>
    <w:rsid w:val="00D51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9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4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&#345;&#237;\Desktop\PIWI-Fond\hodnocen&#237;%20PIWI%20odr&#367;d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i&#345;&#237;\Desktop\PIWI-Fond\hodnocen&#237;%20PIWI%20odr&#367;d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 sz="1400"/>
              <a:t>Vzorek</a:t>
            </a:r>
            <a:r>
              <a:rPr lang="cs-CZ" sz="1400" baseline="0"/>
              <a:t> vína vyhodnocen jako odrůda (%)</a:t>
            </a:r>
            <a:endParaRPr lang="cs-CZ" sz="14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'bílé-typ'!$B$1</c:f>
              <c:strCache>
                <c:ptCount val="1"/>
                <c:pt idx="0">
                  <c:v>Sg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'bílé-typ'!$B$2:$B$19</c:f>
              <c:numCache>
                <c:formatCode>General</c:formatCode>
                <c:ptCount val="18"/>
                <c:pt idx="0">
                  <c:v>27</c:v>
                </c:pt>
                <c:pt idx="2">
                  <c:v>71</c:v>
                </c:pt>
                <c:pt idx="3">
                  <c:v>25</c:v>
                </c:pt>
                <c:pt idx="4">
                  <c:v>80</c:v>
                </c:pt>
                <c:pt idx="5">
                  <c:v>47</c:v>
                </c:pt>
                <c:pt idx="11">
                  <c:v>20</c:v>
                </c:pt>
                <c:pt idx="12">
                  <c:v>80</c:v>
                </c:pt>
                <c:pt idx="13">
                  <c:v>67</c:v>
                </c:pt>
                <c:pt idx="14">
                  <c:v>47</c:v>
                </c:pt>
                <c:pt idx="15">
                  <c:v>14</c:v>
                </c:pt>
                <c:pt idx="16">
                  <c:v>17</c:v>
                </c:pt>
                <c:pt idx="17">
                  <c:v>13</c:v>
                </c:pt>
              </c:numCache>
            </c:numRef>
          </c:val>
        </c:ser>
        <c:ser>
          <c:idx val="1"/>
          <c:order val="1"/>
          <c:tx>
            <c:strRef>
              <c:f>'bílé-typ'!$C$1</c:f>
              <c:strCache>
                <c:ptCount val="1"/>
                <c:pt idx="0">
                  <c:v>VZ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'bílé-typ'!$C$2:$C$19</c:f>
              <c:numCache>
                <c:formatCode>General</c:formatCode>
                <c:ptCount val="18"/>
                <c:pt idx="0">
                  <c:v>20</c:v>
                </c:pt>
                <c:pt idx="3">
                  <c:v>13</c:v>
                </c:pt>
                <c:pt idx="5">
                  <c:v>11</c:v>
                </c:pt>
                <c:pt idx="6">
                  <c:v>13</c:v>
                </c:pt>
                <c:pt idx="8">
                  <c:v>20</c:v>
                </c:pt>
                <c:pt idx="9">
                  <c:v>47</c:v>
                </c:pt>
                <c:pt idx="15">
                  <c:v>21</c:v>
                </c:pt>
                <c:pt idx="16">
                  <c:v>33</c:v>
                </c:pt>
              </c:numCache>
            </c:numRef>
          </c:val>
        </c:ser>
        <c:ser>
          <c:idx val="2"/>
          <c:order val="2"/>
          <c:tx>
            <c:strRef>
              <c:f>'bílé-typ'!$D$1</c:f>
              <c:strCache>
                <c:ptCount val="1"/>
                <c:pt idx="0">
                  <c:v>RR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'bílé-typ'!$D$2:$D$19</c:f>
              <c:numCache>
                <c:formatCode>General</c:formatCode>
                <c:ptCount val="18"/>
                <c:pt idx="0">
                  <c:v>47</c:v>
                </c:pt>
                <c:pt idx="1">
                  <c:v>14</c:v>
                </c:pt>
                <c:pt idx="2">
                  <c:v>12</c:v>
                </c:pt>
                <c:pt idx="3">
                  <c:v>19</c:v>
                </c:pt>
                <c:pt idx="5">
                  <c:v>11</c:v>
                </c:pt>
                <c:pt idx="6">
                  <c:v>67</c:v>
                </c:pt>
                <c:pt idx="7">
                  <c:v>13</c:v>
                </c:pt>
                <c:pt idx="9">
                  <c:v>13</c:v>
                </c:pt>
                <c:pt idx="11">
                  <c:v>47</c:v>
                </c:pt>
                <c:pt idx="14">
                  <c:v>20</c:v>
                </c:pt>
                <c:pt idx="16">
                  <c:v>42</c:v>
                </c:pt>
                <c:pt idx="17">
                  <c:v>19</c:v>
                </c:pt>
              </c:numCache>
            </c:numRef>
          </c:val>
        </c:ser>
        <c:ser>
          <c:idx val="3"/>
          <c:order val="3"/>
          <c:tx>
            <c:strRef>
              <c:f>'bílé-typ'!$E$1</c:f>
              <c:strCache>
                <c:ptCount val="1"/>
                <c:pt idx="0">
                  <c:v>MT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'bílé-typ'!$E$2:$E$19</c:f>
              <c:numCache>
                <c:formatCode>General</c:formatCode>
                <c:ptCount val="18"/>
                <c:pt idx="1">
                  <c:v>36</c:v>
                </c:pt>
                <c:pt idx="3">
                  <c:v>13</c:v>
                </c:pt>
                <c:pt idx="7">
                  <c:v>33</c:v>
                </c:pt>
                <c:pt idx="9">
                  <c:v>20</c:v>
                </c:pt>
                <c:pt idx="10">
                  <c:v>24</c:v>
                </c:pt>
                <c:pt idx="11">
                  <c:v>13</c:v>
                </c:pt>
                <c:pt idx="15">
                  <c:v>14</c:v>
                </c:pt>
              </c:numCache>
            </c:numRef>
          </c:val>
        </c:ser>
        <c:ser>
          <c:idx val="4"/>
          <c:order val="4"/>
          <c:tx>
            <c:strRef>
              <c:f>'bílé-typ'!$F$1</c:f>
              <c:strCache>
                <c:ptCount val="1"/>
                <c:pt idx="0">
                  <c:v>RV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'bílé-typ'!$F$2:$F$19</c:f>
              <c:numCache>
                <c:formatCode>General</c:formatCode>
                <c:ptCount val="18"/>
                <c:pt idx="1">
                  <c:v>21</c:v>
                </c:pt>
                <c:pt idx="7">
                  <c:v>20</c:v>
                </c:pt>
                <c:pt idx="8">
                  <c:v>47</c:v>
                </c:pt>
                <c:pt idx="15">
                  <c:v>14</c:v>
                </c:pt>
              </c:numCache>
            </c:numRef>
          </c:val>
        </c:ser>
        <c:ser>
          <c:idx val="5"/>
          <c:order val="5"/>
          <c:tx>
            <c:strRef>
              <c:f>'bílé-typ'!$G$1</c:f>
              <c:strCache>
                <c:ptCount val="1"/>
                <c:pt idx="0">
                  <c:v>RB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'bílé-typ'!$G$2:$G$19</c:f>
              <c:numCache>
                <c:formatCode>General</c:formatCode>
                <c:ptCount val="18"/>
                <c:pt idx="6">
                  <c:v>20</c:v>
                </c:pt>
                <c:pt idx="10">
                  <c:v>12</c:v>
                </c:pt>
                <c:pt idx="17">
                  <c:v>13</c:v>
                </c:pt>
              </c:numCache>
            </c:numRef>
          </c:val>
        </c:ser>
        <c:ser>
          <c:idx val="6"/>
          <c:order val="6"/>
          <c:tx>
            <c:strRef>
              <c:f>'bílé-typ'!$H$1</c:f>
              <c:strCache>
                <c:ptCount val="1"/>
                <c:pt idx="0">
                  <c:v>Ch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'bílé-typ'!$H$2:$H$19</c:f>
              <c:numCache>
                <c:formatCode>General</c:formatCode>
                <c:ptCount val="18"/>
                <c:pt idx="7">
                  <c:v>20</c:v>
                </c:pt>
                <c:pt idx="9">
                  <c:v>13</c:v>
                </c:pt>
                <c:pt idx="10">
                  <c:v>18</c:v>
                </c:pt>
                <c:pt idx="17">
                  <c:v>38</c:v>
                </c:pt>
              </c:numCache>
            </c:numRef>
          </c:val>
        </c:ser>
        <c:ser>
          <c:idx val="7"/>
          <c:order val="7"/>
          <c:tx>
            <c:strRef>
              <c:f>'bílé-typ'!$I$1</c:f>
              <c:strCache>
                <c:ptCount val="1"/>
                <c:pt idx="0">
                  <c:v>RŠ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'bílé-typ'!$I$2:$I$19</c:f>
              <c:numCache>
                <c:formatCode>General</c:formatCode>
                <c:ptCount val="18"/>
                <c:pt idx="10">
                  <c:v>18</c:v>
                </c:pt>
                <c:pt idx="15">
                  <c:v>14</c:v>
                </c:pt>
              </c:numCache>
            </c:numRef>
          </c:val>
        </c:ser>
        <c:ser>
          <c:idx val="8"/>
          <c:order val="8"/>
          <c:tx>
            <c:strRef>
              <c:f>'bílé-typ'!$J$1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'bílé-typ'!$A$2:$A$19</c:f>
              <c:strCache>
                <c:ptCount val="18"/>
                <c:pt idx="0">
                  <c:v>Rinot 2015 (CZ)</c:v>
                </c:pt>
                <c:pt idx="1">
                  <c:v>Ryzlink rýnský 2016 (CZ)</c:v>
                </c:pt>
                <c:pt idx="2">
                  <c:v>California 2017 (D)</c:v>
                </c:pt>
                <c:pt idx="3">
                  <c:v>California 2016 (D)</c:v>
                </c:pt>
                <c:pt idx="4">
                  <c:v>California 2016 (D)</c:v>
                </c:pt>
                <c:pt idx="5">
                  <c:v>California 2016 (D)</c:v>
                </c:pt>
                <c:pt idx="6">
                  <c:v>California 2012 (D)</c:v>
                </c:pt>
                <c:pt idx="7">
                  <c:v>Veltlínské zelené 2015 (CZ)</c:v>
                </c:pt>
                <c:pt idx="8">
                  <c:v>Vesna 2015 (CZ)</c:v>
                </c:pt>
                <c:pt idx="9">
                  <c:v>Malverina 2015 (CZ)</c:v>
                </c:pt>
                <c:pt idx="10">
                  <c:v>Müller Thurgau 2016 (CZ)</c:v>
                </c:pt>
                <c:pt idx="11">
                  <c:v>Cabernet blanc 2017 (CZ)</c:v>
                </c:pt>
                <c:pt idx="12">
                  <c:v>Cabernet blanc 2016 (D)</c:v>
                </c:pt>
                <c:pt idx="13">
                  <c:v>Cabernet blanc 2016 (D)</c:v>
                </c:pt>
                <c:pt idx="14">
                  <c:v>Cabernet blanc 2016 (CZ)</c:v>
                </c:pt>
                <c:pt idx="15">
                  <c:v>Sauvignon 2017 (CZ)</c:v>
                </c:pt>
                <c:pt idx="16">
                  <c:v>Savilon 2016 (CZ)</c:v>
                </c:pt>
                <c:pt idx="17">
                  <c:v>Cabernet blanc 2015 (D)</c:v>
                </c:pt>
              </c:strCache>
            </c:strRef>
          </c:cat>
          <c:val>
            <c:numRef>
              <c:f>'bílé-typ'!$J$2:$J$19</c:f>
              <c:numCache>
                <c:formatCode>General</c:formatCode>
                <c:ptCount val="18"/>
                <c:pt idx="0">
                  <c:v>6</c:v>
                </c:pt>
                <c:pt idx="1">
                  <c:v>29</c:v>
                </c:pt>
                <c:pt idx="2">
                  <c:v>17</c:v>
                </c:pt>
                <c:pt idx="3">
                  <c:v>30</c:v>
                </c:pt>
                <c:pt idx="4">
                  <c:v>20</c:v>
                </c:pt>
                <c:pt idx="5">
                  <c:v>31</c:v>
                </c:pt>
                <c:pt idx="7">
                  <c:v>14</c:v>
                </c:pt>
                <c:pt idx="8">
                  <c:v>33</c:v>
                </c:pt>
                <c:pt idx="9">
                  <c:v>7</c:v>
                </c:pt>
                <c:pt idx="10">
                  <c:v>28</c:v>
                </c:pt>
                <c:pt idx="11">
                  <c:v>20</c:v>
                </c:pt>
                <c:pt idx="12">
                  <c:v>20</c:v>
                </c:pt>
                <c:pt idx="13">
                  <c:v>33</c:v>
                </c:pt>
                <c:pt idx="14">
                  <c:v>33</c:v>
                </c:pt>
                <c:pt idx="15">
                  <c:v>23</c:v>
                </c:pt>
                <c:pt idx="16">
                  <c:v>8</c:v>
                </c:pt>
                <c:pt idx="17">
                  <c:v>17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387474560"/>
        <c:axId val="387579904"/>
      </c:barChart>
      <c:catAx>
        <c:axId val="387474560"/>
        <c:scaling>
          <c:orientation val="minMax"/>
        </c:scaling>
        <c:delete val="0"/>
        <c:axPos val="l"/>
        <c:majorTickMark val="none"/>
        <c:minorTickMark val="none"/>
        <c:tickLblPos val="nextTo"/>
        <c:crossAx val="387579904"/>
        <c:crosses val="autoZero"/>
        <c:auto val="1"/>
        <c:lblAlgn val="ctr"/>
        <c:lblOffset val="100"/>
        <c:noMultiLvlLbl val="0"/>
      </c:catAx>
      <c:valAx>
        <c:axId val="38757990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38747456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 sz="1400"/>
              <a:t>Vzorek</a:t>
            </a:r>
            <a:r>
              <a:rPr lang="cs-CZ" sz="1400" baseline="0"/>
              <a:t> vína vyhodnocen jako odrůda (%)</a:t>
            </a:r>
            <a:endParaRPr lang="cs-CZ" sz="1400"/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'červená-typ'!$B$1</c:f>
              <c:strCache>
                <c:ptCount val="1"/>
                <c:pt idx="0">
                  <c:v>RM</c:v>
                </c:pt>
              </c:strCache>
            </c:strRef>
          </c:tx>
          <c:spPr>
            <a:solidFill>
              <a:srgbClr val="FF00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'červená-typ'!$B$2:$B$12</c:f>
              <c:numCache>
                <c:formatCode>General</c:formatCode>
                <c:ptCount val="11"/>
                <c:pt idx="1">
                  <c:v>33</c:v>
                </c:pt>
                <c:pt idx="5">
                  <c:v>38</c:v>
                </c:pt>
                <c:pt idx="6">
                  <c:v>15</c:v>
                </c:pt>
              </c:numCache>
            </c:numRef>
          </c:val>
        </c:ser>
        <c:ser>
          <c:idx val="1"/>
          <c:order val="1"/>
          <c:tx>
            <c:strRef>
              <c:f>'červená-typ'!$C$1</c:f>
              <c:strCache>
                <c:ptCount val="1"/>
                <c:pt idx="0">
                  <c:v>CS</c:v>
                </c:pt>
              </c:strCache>
            </c:strRef>
          </c:tx>
          <c:spPr>
            <a:solidFill>
              <a:srgbClr val="00B05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'červená-typ'!$C$2:$C$12</c:f>
              <c:numCache>
                <c:formatCode>General</c:formatCode>
                <c:ptCount val="11"/>
                <c:pt idx="2">
                  <c:v>30</c:v>
                </c:pt>
                <c:pt idx="3">
                  <c:v>23</c:v>
                </c:pt>
                <c:pt idx="4">
                  <c:v>76</c:v>
                </c:pt>
                <c:pt idx="5">
                  <c:v>22</c:v>
                </c:pt>
                <c:pt idx="6">
                  <c:v>15</c:v>
                </c:pt>
                <c:pt idx="7">
                  <c:v>45</c:v>
                </c:pt>
                <c:pt idx="8">
                  <c:v>67</c:v>
                </c:pt>
                <c:pt idx="9">
                  <c:v>38</c:v>
                </c:pt>
                <c:pt idx="10">
                  <c:v>47</c:v>
                </c:pt>
              </c:numCache>
            </c:numRef>
          </c:val>
        </c:ser>
        <c:ser>
          <c:idx val="2"/>
          <c:order val="2"/>
          <c:tx>
            <c:strRef>
              <c:f>'červená-typ'!$D$1</c:f>
              <c:strCache>
                <c:ptCount val="1"/>
                <c:pt idx="0">
                  <c:v>Sv</c:v>
                </c:pt>
              </c:strCache>
            </c:strRef>
          </c:tx>
          <c:spPr>
            <a:solidFill>
              <a:srgbClr val="FFFF0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'červená-typ'!$D$2:$D$12</c:f>
              <c:numCache>
                <c:formatCode>General</c:formatCode>
                <c:ptCount val="11"/>
                <c:pt idx="0">
                  <c:v>33</c:v>
                </c:pt>
                <c:pt idx="1">
                  <c:v>20</c:v>
                </c:pt>
                <c:pt idx="6">
                  <c:v>23</c:v>
                </c:pt>
                <c:pt idx="9">
                  <c:v>15</c:v>
                </c:pt>
              </c:numCache>
            </c:numRef>
          </c:val>
        </c:ser>
        <c:ser>
          <c:idx val="3"/>
          <c:order val="3"/>
          <c:tx>
            <c:strRef>
              <c:f>'červená-typ'!$E$1</c:f>
              <c:strCache>
                <c:ptCount val="1"/>
                <c:pt idx="0">
                  <c:v>Fr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'červená-typ'!$E$2:$E$12</c:f>
              <c:numCache>
                <c:formatCode>General</c:formatCode>
                <c:ptCount val="11"/>
                <c:pt idx="2">
                  <c:v>38</c:v>
                </c:pt>
                <c:pt idx="3">
                  <c:v>15</c:v>
                </c:pt>
                <c:pt idx="5">
                  <c:v>15</c:v>
                </c:pt>
                <c:pt idx="9">
                  <c:v>15</c:v>
                </c:pt>
              </c:numCache>
            </c:numRef>
          </c:val>
        </c:ser>
        <c:ser>
          <c:idx val="4"/>
          <c:order val="4"/>
          <c:tx>
            <c:strRef>
              <c:f>'červená-typ'!$F$1</c:f>
              <c:strCache>
                <c:ptCount val="1"/>
                <c:pt idx="0">
                  <c:v>Zw</c:v>
                </c:pt>
              </c:strCache>
            </c:strRef>
          </c:tx>
          <c:spPr>
            <a:solidFill>
              <a:srgbClr val="0070C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'červená-typ'!$F$2:$F$12</c:f>
              <c:numCache>
                <c:formatCode>General</c:formatCode>
                <c:ptCount val="11"/>
                <c:pt idx="0">
                  <c:v>17</c:v>
                </c:pt>
                <c:pt idx="1">
                  <c:v>27</c:v>
                </c:pt>
                <c:pt idx="3">
                  <c:v>23</c:v>
                </c:pt>
                <c:pt idx="6">
                  <c:v>15</c:v>
                </c:pt>
                <c:pt idx="10">
                  <c:v>13</c:v>
                </c:pt>
              </c:numCache>
            </c:numRef>
          </c:val>
        </c:ser>
        <c:ser>
          <c:idx val="5"/>
          <c:order val="5"/>
          <c:tx>
            <c:strRef>
              <c:f>'červená-typ'!$G$1</c:f>
              <c:strCache>
                <c:ptCount val="1"/>
                <c:pt idx="0">
                  <c:v>Dr</c:v>
                </c:pt>
              </c:strCache>
            </c:strRef>
          </c:tx>
          <c:spPr>
            <a:solidFill>
              <a:srgbClr val="7030A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'červená-typ'!$G$2:$G$12</c:f>
              <c:numCache>
                <c:formatCode>General</c:formatCode>
                <c:ptCount val="11"/>
                <c:pt idx="2">
                  <c:v>15</c:v>
                </c:pt>
                <c:pt idx="3">
                  <c:v>15</c:v>
                </c:pt>
              </c:numCache>
            </c:numRef>
          </c:val>
        </c:ser>
        <c:ser>
          <c:idx val="6"/>
          <c:order val="6"/>
          <c:tx>
            <c:strRef>
              <c:f>'červená-typ'!$H$1</c:f>
              <c:strCache>
                <c:ptCount val="1"/>
                <c:pt idx="0">
                  <c:v>Me</c:v>
                </c:pt>
              </c:strCache>
            </c:strRef>
          </c:tx>
          <c:spPr>
            <a:solidFill>
              <a:srgbClr val="00B0F0"/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'červená-typ'!$H$2:$H$12</c:f>
              <c:numCache>
                <c:formatCode>General</c:formatCode>
                <c:ptCount val="11"/>
                <c:pt idx="6">
                  <c:v>23</c:v>
                </c:pt>
                <c:pt idx="7">
                  <c:v>23</c:v>
                </c:pt>
                <c:pt idx="9">
                  <c:v>13</c:v>
                </c:pt>
                <c:pt idx="10">
                  <c:v>13</c:v>
                </c:pt>
              </c:numCache>
            </c:numRef>
          </c:val>
        </c:ser>
        <c:ser>
          <c:idx val="7"/>
          <c:order val="7"/>
          <c:tx>
            <c:strRef>
              <c:f>'červená-typ'!$I$1</c:f>
              <c:strCache>
                <c:ptCount val="1"/>
                <c:pt idx="0">
                  <c:v>MP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'červená-typ'!$I$2:$I$12</c:f>
              <c:numCache>
                <c:formatCode>General</c:formatCode>
                <c:ptCount val="11"/>
                <c:pt idx="0">
                  <c:v>33</c:v>
                </c:pt>
                <c:pt idx="1">
                  <c:v>13</c:v>
                </c:pt>
              </c:numCache>
            </c:numRef>
          </c:val>
        </c:ser>
        <c:ser>
          <c:idx val="8"/>
          <c:order val="8"/>
          <c:tx>
            <c:strRef>
              <c:f>'červená-typ'!$K$1</c:f>
              <c:strCache>
                <c:ptCount val="1"/>
                <c:pt idx="0">
                  <c:v>ostatní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scene3d>
              <a:camera prst="orthographicFront"/>
              <a:lightRig rig="threePt" dir="t"/>
            </a:scene3d>
            <a:sp3d>
              <a:bevelT/>
            </a:sp3d>
          </c:spPr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'červená-typ'!$A$2:$A$12</c:f>
              <c:strCache>
                <c:ptCount val="11"/>
                <c:pt idx="0">
                  <c:v>Laurot 2017 (CZ)</c:v>
                </c:pt>
                <c:pt idx="1">
                  <c:v>Svatovavřinecké 2015 (CZ)</c:v>
                </c:pt>
                <c:pt idx="2">
                  <c:v>Laurot 2016 (D)</c:v>
                </c:pt>
                <c:pt idx="3">
                  <c:v>Laurot 2016 (CZ)</c:v>
                </c:pt>
                <c:pt idx="4">
                  <c:v>Pinotin 2016 (D)</c:v>
                </c:pt>
                <c:pt idx="5">
                  <c:v>Ruland. modré 2015 (CZ)</c:v>
                </c:pt>
                <c:pt idx="6">
                  <c:v>Pinotin 2015 (D)</c:v>
                </c:pt>
                <c:pt idx="7">
                  <c:v>VB-91-26-29 2016 (D)</c:v>
                </c:pt>
                <c:pt idx="8">
                  <c:v>Cab. S. 2016 bar. 2015 (CZ)</c:v>
                </c:pt>
                <c:pt idx="9">
                  <c:v>Cabaret noir bar. 2016 (D)</c:v>
                </c:pt>
                <c:pt idx="10">
                  <c:v>Cabaret noir bar. 2016 (D)</c:v>
                </c:pt>
              </c:strCache>
            </c:strRef>
          </c:cat>
          <c:val>
            <c:numRef>
              <c:f>'červená-typ'!$K$2:$K$12</c:f>
              <c:numCache>
                <c:formatCode>General</c:formatCode>
                <c:ptCount val="11"/>
                <c:pt idx="0">
                  <c:v>17</c:v>
                </c:pt>
                <c:pt idx="1">
                  <c:v>7</c:v>
                </c:pt>
                <c:pt idx="2">
                  <c:v>17</c:v>
                </c:pt>
                <c:pt idx="3">
                  <c:v>24</c:v>
                </c:pt>
                <c:pt idx="4">
                  <c:v>24</c:v>
                </c:pt>
                <c:pt idx="5">
                  <c:v>25</c:v>
                </c:pt>
                <c:pt idx="6">
                  <c:v>9</c:v>
                </c:pt>
                <c:pt idx="7">
                  <c:v>32</c:v>
                </c:pt>
                <c:pt idx="8">
                  <c:v>33</c:v>
                </c:pt>
                <c:pt idx="9">
                  <c:v>32</c:v>
                </c:pt>
                <c:pt idx="10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151264256"/>
        <c:axId val="151597824"/>
      </c:barChart>
      <c:catAx>
        <c:axId val="1512642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151597824"/>
        <c:crosses val="autoZero"/>
        <c:auto val="1"/>
        <c:lblAlgn val="ctr"/>
        <c:lblOffset val="100"/>
        <c:noMultiLvlLbl val="0"/>
      </c:catAx>
      <c:valAx>
        <c:axId val="151597824"/>
        <c:scaling>
          <c:orientation val="minMax"/>
        </c:scaling>
        <c:delete val="0"/>
        <c:axPos val="b"/>
        <c:majorGridlines/>
        <c:numFmt formatCode="0%" sourceLinked="1"/>
        <c:majorTickMark val="none"/>
        <c:minorTickMark val="none"/>
        <c:tickLblPos val="nextTo"/>
        <c:spPr>
          <a:ln w="9525">
            <a:noFill/>
          </a:ln>
        </c:spPr>
        <c:crossAx val="1512642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California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0.3536492179593459"/>
          <c:y val="0.33691973461778141"/>
          <c:w val="0.38584951092068848"/>
          <c:h val="0.50811481516675139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1"/>
              <c:layout>
                <c:manualLayout>
                  <c:x val="-0.11933958737152092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3891034164701058"/>
                  <c:y val="-0.1522541765304534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4.3604537509695562E-2"/>
                  <c:y val="-3.071741032370953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California!$B$2:$B$8</c:f>
              <c:strCache>
                <c:ptCount val="7"/>
                <c:pt idx="0">
                  <c:v>Sauvignon</c:v>
                </c:pt>
                <c:pt idx="1">
                  <c:v>Ryzlink rýnský</c:v>
                </c:pt>
                <c:pt idx="2">
                  <c:v>Veltlínské zelené</c:v>
                </c:pt>
                <c:pt idx="3">
                  <c:v>ostatní</c:v>
                </c:pt>
                <c:pt idx="4">
                  <c:v>Modrý Portugal</c:v>
                </c:pt>
                <c:pt idx="5">
                  <c:v>Dornfelder</c:v>
                </c:pt>
                <c:pt idx="6">
                  <c:v>ostatní</c:v>
                </c:pt>
              </c:strCache>
            </c:strRef>
          </c:cat>
          <c:val>
            <c:numRef>
              <c:f>California!$C$2:$C$8</c:f>
              <c:numCache>
                <c:formatCode>General</c:formatCode>
                <c:ptCount val="7"/>
                <c:pt idx="0">
                  <c:v>46</c:v>
                </c:pt>
                <c:pt idx="1">
                  <c:v>20</c:v>
                </c:pt>
                <c:pt idx="2">
                  <c:v>8</c:v>
                </c:pt>
                <c:pt idx="3">
                  <c:v>26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Ca</a:t>
            </a:r>
            <a:r>
              <a:rPr lang="cs-CZ" sz="1200"/>
              <a:t>bernet blanc</a:t>
            </a:r>
            <a:endParaRPr lang="en-US" sz="1200"/>
          </a:p>
        </c:rich>
      </c:tx>
      <c:layout>
        <c:manualLayout>
          <c:xMode val="edge"/>
          <c:yMode val="edge"/>
          <c:x val="0.33201792961902005"/>
          <c:y val="5.4029716343989197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42405689410800906"/>
          <c:y val="0.24325568038799292"/>
          <c:w val="0.54861523896395281"/>
          <c:h val="0.64767096821230674"/>
        </c:manualLayout>
      </c:layout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1"/>
              <c:layout>
                <c:manualLayout>
                  <c:x val="-0.20827454851357027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23545989059911895"/>
                  <c:y val="-0.2031887763241015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5748430126149463"/>
                  <c:y val="-1.346168980472148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'Cabernet blanc'!$B$2:$B$8</c:f>
              <c:strCache>
                <c:ptCount val="7"/>
                <c:pt idx="0">
                  <c:v>Sauvignon</c:v>
                </c:pt>
                <c:pt idx="1">
                  <c:v>Ryzlink rýnský</c:v>
                </c:pt>
                <c:pt idx="2">
                  <c:v>Chardonnay</c:v>
                </c:pt>
                <c:pt idx="3">
                  <c:v>ostatní</c:v>
                </c:pt>
                <c:pt idx="4">
                  <c:v>Modrý Portugal</c:v>
                </c:pt>
                <c:pt idx="5">
                  <c:v>Dornfelder</c:v>
                </c:pt>
                <c:pt idx="6">
                  <c:v>ostatní</c:v>
                </c:pt>
              </c:strCache>
            </c:strRef>
          </c:cat>
          <c:val>
            <c:numRef>
              <c:f>'Cabernet blanc'!$C$2:$C$8</c:f>
              <c:numCache>
                <c:formatCode>General</c:formatCode>
                <c:ptCount val="7"/>
                <c:pt idx="0">
                  <c:v>48</c:v>
                </c:pt>
                <c:pt idx="1">
                  <c:v>18</c:v>
                </c:pt>
                <c:pt idx="2">
                  <c:v>9</c:v>
                </c:pt>
                <c:pt idx="3">
                  <c:v>25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Laurot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/>
            </a:sp3d>
          </c:spPr>
          <c:dPt>
            <c:idx val="0"/>
            <c:bubble3D val="0"/>
            <c:spPr>
              <a:solidFill>
                <a:srgbClr val="FF0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1"/>
            <c:bubble3D val="0"/>
            <c:spPr>
              <a:solidFill>
                <a:schemeClr val="accent6">
                  <a:lumMod val="50000"/>
                </a:schemeClr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2"/>
            <c:bubble3D val="0"/>
            <c:spPr>
              <a:solidFill>
                <a:srgbClr val="00B05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4"/>
            <c:bubble3D val="0"/>
            <c:spPr>
              <a:solidFill>
                <a:srgbClr val="0070C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Pt>
            <c:idx val="5"/>
            <c:bubble3D val="0"/>
            <c:spPr>
              <a:solidFill>
                <a:srgbClr val="FFC000"/>
              </a:solidFill>
              <a:scene3d>
                <a:camera prst="orthographicFront"/>
                <a:lightRig rig="threePt" dir="t"/>
              </a:scene3d>
              <a:sp3d>
                <a:bevelT/>
              </a:sp3d>
            </c:spPr>
          </c:dPt>
          <c:dLbls>
            <c:dLbl>
              <c:idx val="0"/>
              <c:layout>
                <c:manualLayout>
                  <c:x val="9.1284339911451698E-2"/>
                  <c:y val="-0.11766929272432261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0859721430928246"/>
                  <c:y val="-0.288239936963950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0.19050565379184309"/>
                  <c:y val="0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8490476932643957E-2"/>
                  <c:y val="-5.3190000093326709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2553476848721904E-2"/>
                  <c:y val="-7.802377717663026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1732484660769883"/>
                  <c:y val="-0.11116570028278228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0.22658138437759828"/>
                  <c:y val="-0.1641382253128604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cs-CZ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Laurot!$B$2:$B$8</c:f>
              <c:strCache>
                <c:ptCount val="7"/>
                <c:pt idx="0">
                  <c:v>Frankovka</c:v>
                </c:pt>
                <c:pt idx="1">
                  <c:v>Cabernet Sauvignon</c:v>
                </c:pt>
                <c:pt idx="2">
                  <c:v>Svatovavřinecké</c:v>
                </c:pt>
                <c:pt idx="3">
                  <c:v>Zweigeltrebe</c:v>
                </c:pt>
                <c:pt idx="4">
                  <c:v>Modrý Portugal</c:v>
                </c:pt>
                <c:pt idx="5">
                  <c:v>Dornfelder</c:v>
                </c:pt>
                <c:pt idx="6">
                  <c:v>ostatní</c:v>
                </c:pt>
              </c:strCache>
            </c:strRef>
          </c:cat>
          <c:val>
            <c:numRef>
              <c:f>Laurot!$C$2:$C$8</c:f>
              <c:numCache>
                <c:formatCode>General</c:formatCode>
                <c:ptCount val="7"/>
                <c:pt idx="0">
                  <c:v>21</c:v>
                </c:pt>
                <c:pt idx="1">
                  <c:v>18</c:v>
                </c:pt>
                <c:pt idx="2">
                  <c:v>14</c:v>
                </c:pt>
                <c:pt idx="3">
                  <c:v>14</c:v>
                </c:pt>
                <c:pt idx="4">
                  <c:v>11</c:v>
                </c:pt>
                <c:pt idx="5">
                  <c:v>10</c:v>
                </c:pt>
                <c:pt idx="6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8A1F0-9BD6-483A-B754-6FCEDD28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Sedlo</dc:creator>
  <cp:lastModifiedBy>Jiří Sedlo</cp:lastModifiedBy>
  <cp:revision>2</cp:revision>
  <dcterms:created xsi:type="dcterms:W3CDTF">2018-06-07T11:16:00Z</dcterms:created>
  <dcterms:modified xsi:type="dcterms:W3CDTF">2018-06-07T15:22:00Z</dcterms:modified>
</cp:coreProperties>
</file>