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03D61DE9" w14:textId="77777777" w:rsidR="004602FC" w:rsidRDefault="004602FC" w:rsidP="004602F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B/V vinařství zabodovalo na soutěži</w:t>
      </w:r>
      <w:r w:rsidR="003C5769">
        <w:rPr>
          <w:rFonts w:ascii="Calibri" w:hAnsi="Calibri" w:cs="Calibri"/>
          <w:b/>
          <w:sz w:val="40"/>
          <w:szCs w:val="36"/>
        </w:rPr>
        <w:t xml:space="preserve"> </w:t>
      </w:r>
    </w:p>
    <w:p w14:paraId="556F9625" w14:textId="6E6063F3" w:rsidR="00086F85" w:rsidRDefault="00076681" w:rsidP="004602FC">
      <w:pPr>
        <w:jc w:val="center"/>
        <w:rPr>
          <w:rFonts w:ascii="Calibri" w:hAnsi="Calibri" w:cs="Calibri"/>
          <w:b/>
          <w:sz w:val="40"/>
          <w:szCs w:val="36"/>
        </w:rPr>
      </w:pPr>
      <w:r w:rsidRPr="00A95615">
        <w:rPr>
          <w:rFonts w:ascii="Calibri" w:hAnsi="Calibri" w:cs="Calibri"/>
          <w:b/>
          <w:sz w:val="40"/>
          <w:szCs w:val="36"/>
        </w:rPr>
        <w:t xml:space="preserve">MUNDUS </w:t>
      </w:r>
      <w:r w:rsidR="004602FC">
        <w:rPr>
          <w:rFonts w:ascii="Calibri" w:hAnsi="Calibri" w:cs="Calibri"/>
          <w:b/>
          <w:sz w:val="40"/>
          <w:szCs w:val="36"/>
        </w:rPr>
        <w:t>VINI v</w:t>
      </w:r>
      <w:r w:rsidR="00F87C93">
        <w:rPr>
          <w:rFonts w:ascii="Calibri" w:hAnsi="Calibri" w:cs="Calibri"/>
          <w:b/>
          <w:sz w:val="40"/>
          <w:szCs w:val="36"/>
        </w:rPr>
        <w:t> </w:t>
      </w:r>
      <w:r w:rsidR="004602FC">
        <w:rPr>
          <w:rFonts w:ascii="Calibri" w:hAnsi="Calibri" w:cs="Calibri"/>
          <w:b/>
          <w:sz w:val="40"/>
          <w:szCs w:val="36"/>
        </w:rPr>
        <w:t>Německu</w:t>
      </w:r>
    </w:p>
    <w:p w14:paraId="0C1219CE" w14:textId="22F289BC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>
        <w:rPr>
          <w:rFonts w:ascii="Calibri" w:hAnsi="Calibri" w:cs="Calibri"/>
          <w:bCs/>
          <w:i/>
          <w:sz w:val="26"/>
          <w:szCs w:val="26"/>
        </w:rPr>
        <w:t>21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>
        <w:rPr>
          <w:rFonts w:ascii="Calibri" w:hAnsi="Calibri" w:cs="Calibri"/>
          <w:bCs/>
          <w:i/>
          <w:sz w:val="26"/>
          <w:szCs w:val="26"/>
        </w:rPr>
        <w:t>9</w:t>
      </w:r>
      <w:r w:rsidRPr="00F87C93">
        <w:rPr>
          <w:rFonts w:ascii="Calibri" w:hAnsi="Calibri" w:cs="Calibri"/>
          <w:bCs/>
          <w:i/>
          <w:sz w:val="26"/>
          <w:szCs w:val="26"/>
        </w:rPr>
        <w:t>. 2020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F9FEA7B" w14:textId="58453B33" w:rsidR="00076681" w:rsidRPr="00A95615" w:rsidRDefault="004602FC" w:rsidP="00F25C7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Vlivem koronaviru byla účast m</w:t>
      </w:r>
      <w:r w:rsidR="00076681" w:rsidRPr="00A95615">
        <w:rPr>
          <w:rFonts w:ascii="Calibri" w:hAnsi="Calibri" w:cs="Calibri"/>
          <w:b/>
          <w:szCs w:val="22"/>
        </w:rPr>
        <w:t>orav</w:t>
      </w:r>
      <w:r>
        <w:rPr>
          <w:rFonts w:ascii="Calibri" w:hAnsi="Calibri" w:cs="Calibri"/>
          <w:b/>
          <w:szCs w:val="22"/>
        </w:rPr>
        <w:t>ských</w:t>
      </w:r>
      <w:r w:rsidR="00076681" w:rsidRPr="00A95615">
        <w:rPr>
          <w:rFonts w:ascii="Calibri" w:hAnsi="Calibri" w:cs="Calibri"/>
          <w:b/>
          <w:szCs w:val="22"/>
        </w:rPr>
        <w:t xml:space="preserve"> vinař</w:t>
      </w:r>
      <w:r>
        <w:rPr>
          <w:rFonts w:ascii="Calibri" w:hAnsi="Calibri" w:cs="Calibri"/>
          <w:b/>
          <w:szCs w:val="22"/>
        </w:rPr>
        <w:t>ů na</w:t>
      </w:r>
      <w:r w:rsidR="00076681" w:rsidRPr="00A95615">
        <w:rPr>
          <w:rFonts w:ascii="Calibri" w:hAnsi="Calibri" w:cs="Calibri"/>
          <w:b/>
          <w:szCs w:val="22"/>
        </w:rPr>
        <w:t> </w:t>
      </w:r>
      <w:r w:rsidR="00FC1842">
        <w:rPr>
          <w:rFonts w:ascii="Calibri" w:hAnsi="Calibri" w:cs="Calibri"/>
          <w:b/>
          <w:szCs w:val="22"/>
        </w:rPr>
        <w:t xml:space="preserve">27. ročníku </w:t>
      </w:r>
      <w:r w:rsidR="00076681" w:rsidRPr="00A95615">
        <w:rPr>
          <w:rFonts w:ascii="Calibri" w:hAnsi="Calibri" w:cs="Calibri"/>
          <w:b/>
          <w:szCs w:val="22"/>
        </w:rPr>
        <w:t>jedné z</w:t>
      </w:r>
      <w:r w:rsidR="00F82049" w:rsidRPr="00A95615">
        <w:rPr>
          <w:rFonts w:ascii="Calibri" w:hAnsi="Calibri" w:cs="Calibri"/>
          <w:b/>
          <w:szCs w:val="22"/>
        </w:rPr>
        <w:t> </w:t>
      </w:r>
      <w:r w:rsidR="00076681" w:rsidRPr="00A95615">
        <w:rPr>
          <w:rFonts w:ascii="Calibri" w:hAnsi="Calibri" w:cs="Calibri"/>
          <w:b/>
          <w:szCs w:val="22"/>
        </w:rPr>
        <w:t>nejpřísněj</w:t>
      </w:r>
      <w:r w:rsidR="00F82049" w:rsidRPr="00A95615">
        <w:rPr>
          <w:rFonts w:ascii="Calibri" w:hAnsi="Calibri" w:cs="Calibri"/>
          <w:b/>
          <w:szCs w:val="22"/>
        </w:rPr>
        <w:t xml:space="preserve">i hodnocených </w:t>
      </w:r>
      <w:r w:rsidR="00076681" w:rsidRPr="00A95615">
        <w:rPr>
          <w:rFonts w:ascii="Calibri" w:hAnsi="Calibri" w:cs="Calibri"/>
          <w:b/>
          <w:szCs w:val="22"/>
        </w:rPr>
        <w:t xml:space="preserve">světových vinařských soutěží MUNDUS </w:t>
      </w:r>
      <w:r>
        <w:rPr>
          <w:rFonts w:ascii="Calibri" w:hAnsi="Calibri" w:cs="Calibri"/>
          <w:b/>
          <w:szCs w:val="22"/>
        </w:rPr>
        <w:t xml:space="preserve">VINI v Německu </w:t>
      </w:r>
      <w:r w:rsidR="00FB12E2">
        <w:rPr>
          <w:rFonts w:ascii="Calibri" w:hAnsi="Calibri" w:cs="Calibri"/>
          <w:b/>
          <w:szCs w:val="22"/>
        </w:rPr>
        <w:t xml:space="preserve">sice </w:t>
      </w:r>
      <w:r>
        <w:rPr>
          <w:rFonts w:ascii="Calibri" w:hAnsi="Calibri" w:cs="Calibri"/>
          <w:b/>
          <w:szCs w:val="22"/>
        </w:rPr>
        <w:t>skromná</w:t>
      </w:r>
      <w:r w:rsidR="00FB12E2">
        <w:rPr>
          <w:rFonts w:ascii="Calibri" w:hAnsi="Calibri" w:cs="Calibri"/>
          <w:b/>
          <w:szCs w:val="22"/>
        </w:rPr>
        <w:t xml:space="preserve">, i tak si naši vinaři odvážejí </w:t>
      </w:r>
      <w:r w:rsidR="00EC046D">
        <w:rPr>
          <w:rFonts w:ascii="Calibri" w:hAnsi="Calibri" w:cs="Calibri"/>
          <w:b/>
          <w:szCs w:val="22"/>
        </w:rPr>
        <w:t xml:space="preserve">úctyhodných </w:t>
      </w:r>
      <w:r w:rsidR="00FB12E2">
        <w:rPr>
          <w:rFonts w:ascii="Calibri" w:hAnsi="Calibri" w:cs="Calibri"/>
          <w:b/>
          <w:szCs w:val="22"/>
        </w:rPr>
        <w:t>28 medailí</w:t>
      </w:r>
      <w:r>
        <w:rPr>
          <w:rFonts w:ascii="Calibri" w:hAnsi="Calibri" w:cs="Calibri"/>
          <w:b/>
          <w:szCs w:val="22"/>
        </w:rPr>
        <w:t xml:space="preserve">. </w:t>
      </w:r>
      <w:r w:rsidR="00076681" w:rsidRPr="00A95615">
        <w:rPr>
          <w:rFonts w:ascii="Calibri" w:hAnsi="Calibri" w:cs="Calibri"/>
          <w:b/>
          <w:szCs w:val="22"/>
        </w:rPr>
        <w:t>Účast vín z České republiky finančně podpořil Vinařský fond a organizačně ji zajistilo Národní vinařské centrum.</w:t>
      </w:r>
    </w:p>
    <w:p w14:paraId="04F3364C" w14:textId="77777777" w:rsidR="00076681" w:rsidRPr="00A95615" w:rsidRDefault="00076681" w:rsidP="00F25C7D">
      <w:pPr>
        <w:jc w:val="both"/>
        <w:rPr>
          <w:rFonts w:ascii="Calibri" w:hAnsi="Calibri" w:cs="Calibri"/>
          <w:b/>
          <w:szCs w:val="22"/>
        </w:rPr>
      </w:pPr>
    </w:p>
    <w:p w14:paraId="5B0339CB" w14:textId="2C69355E" w:rsidR="004602FC" w:rsidRDefault="00FC1842" w:rsidP="00F25C7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Mezinárodní soutěž vín MUNDUS VINI se konala od 28. do 30. srpna v německém </w:t>
      </w:r>
      <w:r w:rsidRPr="00FC1842">
        <w:rPr>
          <w:rFonts w:ascii="Calibri" w:hAnsi="Calibri" w:cs="Calibri"/>
          <w:szCs w:val="22"/>
        </w:rPr>
        <w:t>Neustadt an der Weinstrasse</w:t>
      </w:r>
      <w:r>
        <w:rPr>
          <w:rFonts w:ascii="Calibri" w:hAnsi="Calibri" w:cs="Calibri"/>
          <w:szCs w:val="22"/>
        </w:rPr>
        <w:t>. Letošní již 27. ročník byl jako většina soutěží zkomplikovan</w:t>
      </w:r>
      <w:r w:rsidR="00EC046D">
        <w:rPr>
          <w:rFonts w:ascii="Calibri" w:hAnsi="Calibri" w:cs="Calibri"/>
          <w:szCs w:val="22"/>
        </w:rPr>
        <w:t>ý</w:t>
      </w:r>
      <w:r>
        <w:rPr>
          <w:rFonts w:ascii="Calibri" w:hAnsi="Calibri" w:cs="Calibri"/>
          <w:szCs w:val="22"/>
        </w:rPr>
        <w:t xml:space="preserve"> koronavirovou krizí. Moravští vinaři do ní přihlásili </w:t>
      </w:r>
      <w:r w:rsidR="00EC046D">
        <w:rPr>
          <w:rFonts w:ascii="Calibri" w:hAnsi="Calibri" w:cs="Calibri"/>
          <w:szCs w:val="22"/>
        </w:rPr>
        <w:t xml:space="preserve">jen </w:t>
      </w:r>
      <w:r>
        <w:rPr>
          <w:rFonts w:ascii="Calibri" w:hAnsi="Calibri" w:cs="Calibri"/>
          <w:szCs w:val="22"/>
        </w:rPr>
        <w:t>54 vzorků</w:t>
      </w:r>
      <w:r w:rsidR="00EC046D">
        <w:rPr>
          <w:rFonts w:ascii="Calibri" w:hAnsi="Calibri" w:cs="Calibri"/>
          <w:szCs w:val="22"/>
        </w:rPr>
        <w:t>, ale</w:t>
      </w:r>
      <w:r>
        <w:rPr>
          <w:rFonts w:ascii="Calibri" w:hAnsi="Calibri" w:cs="Calibri"/>
          <w:szCs w:val="22"/>
        </w:rPr>
        <w:t xml:space="preserve"> odvezli si krásných 28 medailí. </w:t>
      </w:r>
      <w:r w:rsidR="0096098C">
        <w:rPr>
          <w:rFonts w:ascii="Calibri" w:hAnsi="Calibri" w:cs="Calibri"/>
          <w:szCs w:val="22"/>
        </w:rPr>
        <w:t xml:space="preserve">Reprezentace jižní Moravy se ujalo </w:t>
      </w:r>
      <w:r w:rsidR="00FB12E2">
        <w:rPr>
          <w:rFonts w:ascii="Calibri" w:hAnsi="Calibri" w:cs="Calibri"/>
          <w:szCs w:val="22"/>
        </w:rPr>
        <w:t xml:space="preserve">hlavně </w:t>
      </w:r>
      <w:r w:rsidR="0096098C">
        <w:rPr>
          <w:rFonts w:ascii="Calibri" w:hAnsi="Calibri" w:cs="Calibri"/>
          <w:szCs w:val="22"/>
        </w:rPr>
        <w:t>B/V vinařství</w:t>
      </w:r>
      <w:r w:rsidR="00EC046D">
        <w:rPr>
          <w:rFonts w:ascii="Calibri" w:hAnsi="Calibri" w:cs="Calibri"/>
          <w:szCs w:val="22"/>
        </w:rPr>
        <w:t>, které obdrželo</w:t>
      </w:r>
      <w:r w:rsidR="0096098C">
        <w:rPr>
          <w:rFonts w:ascii="Calibri" w:hAnsi="Calibri" w:cs="Calibri"/>
          <w:szCs w:val="22"/>
        </w:rPr>
        <w:t xml:space="preserve"> h</w:t>
      </w:r>
      <w:r>
        <w:rPr>
          <w:rFonts w:ascii="Calibri" w:hAnsi="Calibri" w:cs="Calibri"/>
          <w:szCs w:val="22"/>
        </w:rPr>
        <w:t>ned 27 medailí, z toho jednu velkou zlatou, 11 zlatých a 15 stříbrných medailí</w:t>
      </w:r>
      <w:r w:rsidR="008058B5">
        <w:rPr>
          <w:rFonts w:ascii="Calibri" w:hAnsi="Calibri" w:cs="Calibri"/>
          <w:szCs w:val="22"/>
        </w:rPr>
        <w:t xml:space="preserve">. Jednu stříbrnou medaili pak </w:t>
      </w:r>
      <w:r w:rsidR="00EC046D">
        <w:rPr>
          <w:rFonts w:ascii="Calibri" w:hAnsi="Calibri" w:cs="Calibri"/>
          <w:szCs w:val="22"/>
        </w:rPr>
        <w:t>získalo</w:t>
      </w:r>
      <w:r w:rsidR="008058B5">
        <w:rPr>
          <w:rFonts w:ascii="Calibri" w:hAnsi="Calibri" w:cs="Calibri"/>
          <w:szCs w:val="22"/>
        </w:rPr>
        <w:t xml:space="preserve"> ještě vinařství </w:t>
      </w:r>
      <w:r w:rsidR="00D1229D">
        <w:rPr>
          <w:rFonts w:ascii="Calibri" w:hAnsi="Calibri" w:cs="Calibri"/>
          <w:szCs w:val="22"/>
        </w:rPr>
        <w:t>Štěpán Maňák.</w:t>
      </w:r>
      <w:r>
        <w:rPr>
          <w:rFonts w:ascii="Calibri" w:hAnsi="Calibri" w:cs="Calibri"/>
          <w:szCs w:val="22"/>
        </w:rPr>
        <w:t xml:space="preserve">  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3EE055EA" w:rsidR="001D62EB" w:rsidRPr="00A95615" w:rsidRDefault="00076681" w:rsidP="00614F00">
      <w:pPr>
        <w:jc w:val="both"/>
        <w:rPr>
          <w:rFonts w:ascii="Calibri" w:hAnsi="Calibri" w:cs="Calibri"/>
          <w:szCs w:val="22"/>
        </w:rPr>
      </w:pPr>
      <w:r w:rsidRPr="00A95615">
        <w:rPr>
          <w:rFonts w:ascii="Calibri" w:hAnsi="Calibri" w:cs="Calibri"/>
          <w:i/>
          <w:szCs w:val="22"/>
        </w:rPr>
        <w:t>„</w:t>
      </w:r>
      <w:r w:rsidR="00CC5319">
        <w:rPr>
          <w:rFonts w:ascii="Calibri" w:hAnsi="Calibri" w:cs="Calibri"/>
          <w:i/>
          <w:szCs w:val="22"/>
        </w:rPr>
        <w:t xml:space="preserve">Ačkoliv účast na této soutěži nebyla letos z naší strany </w:t>
      </w:r>
      <w:r w:rsidR="00FB12E2">
        <w:rPr>
          <w:rFonts w:ascii="Calibri" w:hAnsi="Calibri" w:cs="Calibri"/>
          <w:i/>
          <w:szCs w:val="22"/>
        </w:rPr>
        <w:t xml:space="preserve">až </w:t>
      </w:r>
      <w:r w:rsidR="00CC5319">
        <w:rPr>
          <w:rFonts w:ascii="Calibri" w:hAnsi="Calibri" w:cs="Calibri"/>
          <w:i/>
          <w:szCs w:val="22"/>
        </w:rPr>
        <w:t xml:space="preserve">tak vysoká, tak si myslím, že zisk 28 medailí a z toho jedné velké zlaté je vynikající výsledek. </w:t>
      </w:r>
      <w:r w:rsidR="00614F00">
        <w:rPr>
          <w:rFonts w:ascii="Calibri" w:hAnsi="Calibri" w:cs="Calibri"/>
          <w:i/>
          <w:szCs w:val="22"/>
        </w:rPr>
        <w:t xml:space="preserve">MUNDUS </w:t>
      </w:r>
      <w:r w:rsidR="00CC5319">
        <w:rPr>
          <w:rFonts w:ascii="Calibri" w:hAnsi="Calibri" w:cs="Calibri"/>
          <w:i/>
          <w:szCs w:val="22"/>
        </w:rPr>
        <w:t>VINI</w:t>
      </w:r>
      <w:r w:rsidR="00614F00">
        <w:rPr>
          <w:rFonts w:ascii="Calibri" w:hAnsi="Calibri" w:cs="Calibri"/>
          <w:i/>
          <w:szCs w:val="22"/>
        </w:rPr>
        <w:t xml:space="preserve"> </w:t>
      </w:r>
      <w:r w:rsidR="00CC5319">
        <w:rPr>
          <w:rFonts w:ascii="Calibri" w:hAnsi="Calibri" w:cs="Calibri"/>
          <w:i/>
          <w:szCs w:val="22"/>
        </w:rPr>
        <w:t xml:space="preserve">patří mezi </w:t>
      </w:r>
      <w:r w:rsidR="00614F00">
        <w:rPr>
          <w:rFonts w:ascii="Calibri" w:hAnsi="Calibri" w:cs="Calibri"/>
          <w:i/>
          <w:szCs w:val="22"/>
        </w:rPr>
        <w:t>nejpřísněji hodnocen</w:t>
      </w:r>
      <w:r w:rsidR="00CC5319">
        <w:rPr>
          <w:rFonts w:ascii="Calibri" w:hAnsi="Calibri" w:cs="Calibri"/>
          <w:i/>
          <w:szCs w:val="22"/>
        </w:rPr>
        <w:t>é</w:t>
      </w:r>
      <w:r w:rsidR="00614F00">
        <w:rPr>
          <w:rFonts w:ascii="Calibri" w:hAnsi="Calibri" w:cs="Calibri"/>
          <w:i/>
          <w:szCs w:val="22"/>
        </w:rPr>
        <w:t xml:space="preserve"> mezinárodní vinařsk</w:t>
      </w:r>
      <w:r w:rsidR="00CC5319">
        <w:rPr>
          <w:rFonts w:ascii="Calibri" w:hAnsi="Calibri" w:cs="Calibri"/>
          <w:i/>
          <w:szCs w:val="22"/>
        </w:rPr>
        <w:t>é</w:t>
      </w:r>
      <w:r w:rsidR="00614F00">
        <w:rPr>
          <w:rFonts w:ascii="Calibri" w:hAnsi="Calibri" w:cs="Calibri"/>
          <w:i/>
          <w:szCs w:val="22"/>
        </w:rPr>
        <w:t xml:space="preserve"> soutěž</w:t>
      </w:r>
      <w:r w:rsidR="00CC5319">
        <w:rPr>
          <w:rFonts w:ascii="Calibri" w:hAnsi="Calibri" w:cs="Calibri"/>
          <w:i/>
          <w:szCs w:val="22"/>
        </w:rPr>
        <w:t>e</w:t>
      </w:r>
      <w:r w:rsidR="000A7B64">
        <w:rPr>
          <w:rFonts w:ascii="Calibri" w:hAnsi="Calibri" w:cs="Calibri"/>
          <w:i/>
          <w:szCs w:val="22"/>
        </w:rPr>
        <w:t xml:space="preserve"> a</w:t>
      </w:r>
      <w:r w:rsidR="00CC5319">
        <w:rPr>
          <w:rFonts w:ascii="Calibri" w:hAnsi="Calibri" w:cs="Calibri"/>
          <w:i/>
          <w:szCs w:val="22"/>
        </w:rPr>
        <w:t xml:space="preserve"> každá medaile se počítá</w:t>
      </w:r>
      <w:r w:rsidR="00614F00">
        <w:rPr>
          <w:rFonts w:ascii="Calibri" w:hAnsi="Calibri" w:cs="Calibri"/>
          <w:i/>
          <w:szCs w:val="22"/>
        </w:rPr>
        <w:t>,“</w:t>
      </w:r>
      <w:r w:rsidR="00F82049" w:rsidRPr="00A95615">
        <w:rPr>
          <w:rFonts w:ascii="Calibri" w:hAnsi="Calibri" w:cs="Calibri"/>
          <w:szCs w:val="22"/>
        </w:rPr>
        <w:t xml:space="preserve"> komentuje </w:t>
      </w:r>
      <w:r w:rsidR="00EC046D">
        <w:rPr>
          <w:rFonts w:ascii="Calibri" w:hAnsi="Calibri" w:cs="Calibri"/>
          <w:szCs w:val="22"/>
        </w:rPr>
        <w:t>výsledek</w:t>
      </w:r>
      <w:r w:rsidR="00F82049" w:rsidRPr="00A95615">
        <w:rPr>
          <w:rFonts w:ascii="Calibri" w:hAnsi="Calibri" w:cs="Calibri"/>
          <w:szCs w:val="22"/>
        </w:rPr>
        <w:t xml:space="preserve"> I</w:t>
      </w:r>
      <w:r w:rsidRPr="00A95615">
        <w:rPr>
          <w:rFonts w:ascii="Calibri" w:hAnsi="Calibri" w:cs="Calibri"/>
          <w:szCs w:val="22"/>
        </w:rPr>
        <w:t xml:space="preserve">ng. Pavel Krška, ředitel Národního vinařského centra. </w:t>
      </w:r>
    </w:p>
    <w:p w14:paraId="033F6FAA" w14:textId="77777777" w:rsidR="00F25C7D" w:rsidRDefault="00F25C7D" w:rsidP="00F25C7D">
      <w:pPr>
        <w:jc w:val="both"/>
        <w:rPr>
          <w:rFonts w:ascii="Calibri" w:hAnsi="Calibri" w:cs="Calibri"/>
          <w:szCs w:val="22"/>
        </w:rPr>
      </w:pPr>
    </w:p>
    <w:p w14:paraId="33AB9092" w14:textId="51682642" w:rsidR="00FB750E" w:rsidRPr="00075DEA" w:rsidRDefault="004602FC" w:rsidP="00F25C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</w:t>
      </w:r>
      <w:r w:rsidRPr="004602FC">
        <w:rPr>
          <w:rFonts w:ascii="Calibri" w:hAnsi="Calibri" w:cs="Calibri"/>
        </w:rPr>
        <w:t xml:space="preserve"> 120 odborníků na víno chutnalo a hodnotilo během čtyř dnů téměř 4 500 vín z celého světa. </w:t>
      </w:r>
      <w:r>
        <w:rPr>
          <w:rFonts w:ascii="Calibri" w:hAnsi="Calibri" w:cs="Calibri"/>
        </w:rPr>
        <w:t xml:space="preserve">Celkem bylo uděleno </w:t>
      </w:r>
      <w:r w:rsidRPr="004602FC">
        <w:rPr>
          <w:rFonts w:ascii="Calibri" w:hAnsi="Calibri" w:cs="Calibri"/>
        </w:rPr>
        <w:t xml:space="preserve">13 </w:t>
      </w:r>
      <w:r>
        <w:rPr>
          <w:rFonts w:ascii="Calibri" w:hAnsi="Calibri" w:cs="Calibri"/>
        </w:rPr>
        <w:t>velkých</w:t>
      </w:r>
      <w:r w:rsidRPr="004602FC">
        <w:rPr>
          <w:rFonts w:ascii="Calibri" w:hAnsi="Calibri" w:cs="Calibri"/>
        </w:rPr>
        <w:t xml:space="preserve"> zlatých, 919 zlatých a 849 stříbrných medailí.</w:t>
      </w:r>
      <w:r>
        <w:rPr>
          <w:rFonts w:ascii="Calibri" w:hAnsi="Calibri" w:cs="Calibri"/>
        </w:rPr>
        <w:t xml:space="preserve"> Nejvíce medailí získala tradičně vína z Itálie, následována Španělskem, domácím Německem, Francií a Portugalskem.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45E2CB27" w14:textId="7777777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248D2217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na </w:t>
      </w:r>
      <w:hyperlink r:id="rId9" w:history="1">
        <w:r w:rsidRPr="000F4083">
          <w:rPr>
            <w:rStyle w:val="Hypertextovodkaz"/>
            <w:rFonts w:ascii="Calibri" w:hAnsi="Calibri" w:cs="Calibri"/>
            <w:b/>
            <w:szCs w:val="22"/>
          </w:rPr>
          <w:t>www.meininger.de/en/mundus-vini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6730194B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B474B2E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91C03FF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02D210C7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4FDA4C2D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04A948CC" w14:textId="77777777" w:rsidR="000D5864" w:rsidRDefault="000D5864" w:rsidP="00251614">
      <w:pPr>
        <w:rPr>
          <w:rFonts w:ascii="Calibri" w:hAnsi="Calibri" w:cs="Calibri"/>
          <w:b/>
          <w:sz w:val="28"/>
        </w:rPr>
      </w:pPr>
    </w:p>
    <w:p w14:paraId="6D5A7A8C" w14:textId="77777777" w:rsidR="000D5864" w:rsidRDefault="000D5864" w:rsidP="00251614">
      <w:pPr>
        <w:rPr>
          <w:rFonts w:ascii="Calibri" w:hAnsi="Calibri" w:cs="Calibri"/>
          <w:b/>
          <w:sz w:val="28"/>
        </w:rPr>
      </w:pPr>
    </w:p>
    <w:p w14:paraId="33C5A27B" w14:textId="7BC72213" w:rsidR="00172135" w:rsidRPr="00A95615" w:rsidRDefault="00172135" w:rsidP="00172135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>Výsledky</w:t>
      </w:r>
      <w:r w:rsidR="007940A2" w:rsidRPr="00A95615">
        <w:rPr>
          <w:rFonts w:ascii="Calibri" w:hAnsi="Calibri" w:cs="Calibri"/>
          <w:b/>
          <w:szCs w:val="22"/>
        </w:rPr>
        <w:t xml:space="preserve"> MUNDUS vini 20</w:t>
      </w:r>
      <w:r w:rsidR="0038212D">
        <w:rPr>
          <w:rFonts w:ascii="Calibri" w:hAnsi="Calibri" w:cs="Calibri"/>
          <w:b/>
          <w:szCs w:val="22"/>
        </w:rPr>
        <w:t>20</w:t>
      </w:r>
      <w:r w:rsidRPr="00A95615">
        <w:rPr>
          <w:rFonts w:ascii="Calibri" w:hAnsi="Calibri" w:cs="Calibri"/>
          <w:b/>
          <w:szCs w:val="22"/>
        </w:rPr>
        <w:t>:</w:t>
      </w:r>
    </w:p>
    <w:p w14:paraId="3FF714E3" w14:textId="77777777" w:rsidR="00F82049" w:rsidRDefault="00F82049" w:rsidP="00172135">
      <w:pPr>
        <w:rPr>
          <w:rFonts w:ascii="Calibri" w:hAnsi="Calibri" w:cs="Calibri"/>
          <w:b/>
          <w:szCs w:val="22"/>
        </w:rPr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42"/>
        <w:gridCol w:w="1701"/>
      </w:tblGrid>
      <w:tr w:rsidR="00614F00" w14:paraId="35624B17" w14:textId="77777777" w:rsidTr="00614F0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E5" w14:textId="5DE121A9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Vinařství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DFB" w14:textId="037DA0B4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351" w14:textId="77777777" w:rsidR="00614F00" w:rsidRPr="00935E29" w:rsidRDefault="00614F00" w:rsidP="00614F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Ocenění</w:t>
            </w:r>
          </w:p>
        </w:tc>
      </w:tr>
      <w:tr w:rsidR="001965C6" w14:paraId="2364DA3C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16E781D5" w14:textId="5CE7201C" w:rsidR="001965C6" w:rsidRPr="00935E29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4A6C7F00" w14:textId="65220322" w:rsidR="001965C6" w:rsidRPr="001965C6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2013,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3F510CCD" w14:textId="4D34FCD5" w:rsidR="001965C6" w:rsidRPr="00935E29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Velká zlatá</w:t>
            </w:r>
            <w:r w:rsidR="00C45FB0">
              <w:rPr>
                <w:rFonts w:ascii="Calibri" w:hAnsi="Calibri" w:cs="Calibri"/>
                <w:bCs/>
                <w:sz w:val="20"/>
                <w:szCs w:val="20"/>
              </w:rPr>
              <w:t xml:space="preserve"> medaile a národní šampion</w:t>
            </w:r>
          </w:p>
        </w:tc>
      </w:tr>
      <w:tr w:rsidR="001965C6" w14:paraId="233E76FE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14E764" w14:textId="49147AC0" w:rsidR="001965C6" w:rsidRPr="00935E29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FDDEFE" w14:textId="1A467253" w:rsidR="001965C6" w:rsidRPr="001965C6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Neronet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606CE6" w14:textId="1A803D91" w:rsidR="001965C6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1E50E27C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67B408" w14:textId="31B5E946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FA39F2" w14:textId="06215164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Neronet 2015, výběr z 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8DD5D4" w14:textId="6BB50250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0F81336E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0D78EE" w14:textId="2AC2EDE2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4B8364" w14:textId="142ABBB6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2018,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FC84D8" w14:textId="1A26A715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1F20D242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08F583" w14:textId="132CCD92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BF9469" w14:textId="466FED9D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Muškát moravský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AD303F" w14:textId="57E49962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1FC43348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2EE619" w14:textId="38D7250B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AFDA2D" w14:textId="4EFB783A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Rulandské modré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51AF6F" w14:textId="77DD2CC0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59E0660B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F011AB" w14:textId="30B4EA05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E2B605" w14:textId="20401AE5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Svatovavřinecké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6DC30C" w14:textId="7B0AAE05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5AB61563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B7A72A" w14:textId="27827F2F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094B0B3" w14:textId="56548427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Chardonnay 2018,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4BB6F2" w14:textId="63C2E1C9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30170157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5F6F01" w14:textId="5455FED9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322C63" w14:textId="035EB885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DDC68E" w14:textId="465CD27B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3E4C9065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9B3294" w14:textId="021E9D55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79CAAF" w14:textId="63D96C74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Tramín červený 2017, výběr z 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617830" w14:textId="72039930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14:paraId="00A32BAE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4C4D0F" w14:textId="6B8678D4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34EE2B" w14:textId="27228971" w:rsidR="00C45FB0" w:rsidRPr="001965C6" w:rsidRDefault="00C45FB0" w:rsidP="00C45FB0">
            <w:pPr>
              <w:rPr>
                <w:rFonts w:ascii="Calibri" w:hAnsi="Calibri" w:cs="Calibri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A1F0E5" w14:textId="0F18C4D8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C45FB0" w:rsidRPr="00DD49F8" w14:paraId="28F76323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CF6551" w14:textId="20D64AA4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6E8342" w14:textId="72FF6BB8" w:rsidR="00C45FB0" w:rsidRPr="001965C6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Rulandské šedé 2018, oranžové,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AE4E1C" w14:textId="4444566E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D6A5C"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1965C6" w:rsidRPr="00DD49F8" w14:paraId="080726B0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A2FCD3" w14:textId="57FA3617" w:rsidR="001965C6" w:rsidRPr="00935E29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C9EC97" w14:textId="4BD47079" w:rsidR="001965C6" w:rsidRPr="001965C6" w:rsidRDefault="001965C6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2017,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58630B4" w14:textId="3D65DABC" w:rsidR="001965C6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49CE6747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63D162" w14:textId="34F9F942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644CDB" w14:textId="2FEBAAE6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Tramín červený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E5467F" w14:textId="5FB4DD9A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642F73F6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5CF36D" w14:textId="74DC17D7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F34DE7" w14:textId="7F080454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Chardonnay 2017,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005E52" w14:textId="38A63EA7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2F2A85A0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808E18" w14:textId="3A8B7C28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D7ED82" w14:textId="719B155B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2018,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BF764F" w14:textId="5CBE611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0CB228E6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550533" w14:textId="1426D77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A28C2A" w14:textId="658F3439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André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E81674" w14:textId="0EA06437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10C9D17D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D7C158" w14:textId="3125786E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52112E0" w14:textId="41D36BC3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2017,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DE0745" w14:textId="3A313AD1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28DFA994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765FC9" w14:textId="0589D946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455E6A" w14:textId="66D9F7BF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Chardonnay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43CB6C" w14:textId="0DAA3D8B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40CEA38B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79514A" w14:textId="14610695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307973" w14:textId="53024768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Solaris 2019,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AFE41A" w14:textId="5707BA43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1410A24A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64ED20" w14:textId="694645C9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222007" w14:textId="197A45A3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Cabernet Sauvignon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A337B5F" w14:textId="5E818217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6BA2EA7B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2E9BE4" w14:textId="47F0310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1F5DB5" w14:textId="02CE446D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Frankovka rosé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5AC777" w14:textId="29689FD2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70A6B346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0A711C" w14:textId="64966AF4" w:rsidR="00C45FB0" w:rsidRPr="00935E29" w:rsidRDefault="00C45FB0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94C385" w14:textId="3E23C4A4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Veltlínské zelené 2017,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1D8C94" w14:textId="2DC8119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5F023D1F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22E52B" w14:textId="79920B6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8BE92B6" w14:textId="7D3BA683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Tramín červený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0F4621" w14:textId="6F584ABC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430B438A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7C1204" w14:textId="72CD26F1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5CC14C0" w14:textId="746FE5C0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Rulandské šedé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144AF71" w14:textId="29380FED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4B7187C9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F6EE30" w14:textId="435BDD5E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1C7584" w14:textId="03CDE1D4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Tramín červený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D506C6" w14:textId="66C7B3DD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734C35B4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CE7FEF" w14:textId="364835B1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0EA44D" w14:textId="0C5D24DC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Ryzlink rýnský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C20BD2" w14:textId="164C0B0A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45FB0" w:rsidRPr="00DD49F8" w14:paraId="6552CA41" w14:textId="77777777" w:rsidTr="00C45FB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F2E896" w14:textId="6B7E1334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Vinařství Štěpán Maňák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D1A4CD" w14:textId="6C5BD127" w:rsidR="00C45FB0" w:rsidRPr="001965C6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965C6">
              <w:rPr>
                <w:rFonts w:ascii="Calibri" w:hAnsi="Calibri" w:cs="Calibri"/>
                <w:sz w:val="20"/>
                <w:szCs w:val="20"/>
              </w:rPr>
              <w:t>Sauvignon blanc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AC0BEF" w14:textId="7E504BBB" w:rsidR="00C45FB0" w:rsidRPr="00935E29" w:rsidRDefault="00C45FB0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26DAD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</w:tbl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73AF" w14:textId="77777777" w:rsidR="00951C77" w:rsidRDefault="00951C77">
      <w:r>
        <w:separator/>
      </w:r>
    </w:p>
  </w:endnote>
  <w:endnote w:type="continuationSeparator" w:id="0">
    <w:p w14:paraId="2E6AD584" w14:textId="77777777" w:rsidR="00951C77" w:rsidRDefault="009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2408" w14:textId="77777777" w:rsidR="00951C77" w:rsidRDefault="00951C77">
      <w:r>
        <w:separator/>
      </w:r>
    </w:p>
  </w:footnote>
  <w:footnote w:type="continuationSeparator" w:id="0">
    <w:p w14:paraId="3E945363" w14:textId="77777777" w:rsidR="00951C77" w:rsidRDefault="0095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CFD" w14:textId="507242A8" w:rsidR="006D022F" w:rsidRDefault="00BF1785" w:rsidP="00172135">
    <w:pPr>
      <w:pStyle w:val="Zhlav"/>
      <w:jc w:val="right"/>
    </w:pPr>
    <w:r>
      <w:rPr>
        <w:noProof/>
      </w:rPr>
      <w:drawing>
        <wp:inline distT="0" distB="0" distL="0" distR="0" wp14:anchorId="345150C8" wp14:editId="79C3326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22F"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D05E7"/>
    <w:rsid w:val="002D2A67"/>
    <w:rsid w:val="002E72A0"/>
    <w:rsid w:val="002E7560"/>
    <w:rsid w:val="00300663"/>
    <w:rsid w:val="003177E5"/>
    <w:rsid w:val="0032108D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34EBE"/>
    <w:rsid w:val="00440EBC"/>
    <w:rsid w:val="004602FC"/>
    <w:rsid w:val="00462F12"/>
    <w:rsid w:val="004775C2"/>
    <w:rsid w:val="004932F2"/>
    <w:rsid w:val="00497382"/>
    <w:rsid w:val="004B31CA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3F8C"/>
    <w:rsid w:val="005E624F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D022F"/>
    <w:rsid w:val="006E22F3"/>
    <w:rsid w:val="006E5998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95615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ninger.de/en/mundus-vi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4161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9</cp:revision>
  <dcterms:created xsi:type="dcterms:W3CDTF">2020-09-15T10:25:00Z</dcterms:created>
  <dcterms:modified xsi:type="dcterms:W3CDTF">2020-09-16T07:40:00Z</dcterms:modified>
</cp:coreProperties>
</file>