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61072" w14:textId="77777777" w:rsidR="000A66D6" w:rsidRDefault="000A66D6" w:rsidP="00ED5D00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</w:p>
    <w:p w14:paraId="583B17FC" w14:textId="1DEE0F7A" w:rsidR="00C11B9B" w:rsidRPr="00293790" w:rsidRDefault="00FB775E" w:rsidP="00C11B9B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FB775E">
        <w:rPr>
          <w:rFonts w:ascii="Calibri" w:hAnsi="Calibri" w:cs="Calibri"/>
          <w:b/>
          <w:sz w:val="36"/>
          <w:szCs w:val="36"/>
        </w:rPr>
        <w:t>Moravské víno šampionem bílých vín mezi 10 000 světovými víny na Concours Mondial de Bruxelles</w:t>
      </w:r>
    </w:p>
    <w:p w14:paraId="3C93C882" w14:textId="5EEAFFB4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06E32">
        <w:rPr>
          <w:rFonts w:ascii="Calibri" w:hAnsi="Calibri" w:cs="Calibri"/>
          <w:i/>
          <w:spacing w:val="50"/>
          <w:sz w:val="28"/>
          <w:szCs w:val="28"/>
        </w:rPr>
        <w:t>8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06E32">
        <w:rPr>
          <w:rFonts w:ascii="Calibri" w:hAnsi="Calibri" w:cs="Calibri"/>
          <w:i/>
          <w:spacing w:val="50"/>
          <w:sz w:val="28"/>
          <w:szCs w:val="28"/>
        </w:rPr>
        <w:t>července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8B50E4">
        <w:rPr>
          <w:rFonts w:ascii="Calibri" w:hAnsi="Calibri" w:cs="Calibri"/>
          <w:i/>
          <w:spacing w:val="50"/>
          <w:sz w:val="28"/>
          <w:szCs w:val="28"/>
        </w:rPr>
        <w:t>2</w:t>
      </w:r>
      <w:r w:rsidR="00206E32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0C8006E2" w14:textId="69BE1C01" w:rsidR="0074082A" w:rsidRDefault="007C397D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 konkurenci 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>10 000 vín z celého světa se stal nejlepším bílým vínem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80710" w:rsidRPr="00A80710">
        <w:rPr>
          <w:rFonts w:ascii="Calibri" w:hAnsi="Calibri" w:cs="Calibri"/>
          <w:b/>
          <w:bCs/>
          <w:color w:val="000000"/>
          <w:sz w:val="22"/>
          <w:szCs w:val="22"/>
        </w:rPr>
        <w:t xml:space="preserve">na prestižní mezinárodní soutěží vín Concours Mondial de Bruxelles 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>Ryzlink vlašský 2018 Reserva</w:t>
      </w:r>
      <w:r w:rsidR="00F12BD9">
        <w:rPr>
          <w:rFonts w:ascii="Calibri" w:hAnsi="Calibri" w:cs="Calibri"/>
          <w:b/>
          <w:bCs/>
          <w:color w:val="000000"/>
          <w:sz w:val="22"/>
          <w:szCs w:val="22"/>
        </w:rPr>
        <w:t>, pozdní sběr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od </w:t>
      </w:r>
      <w:r w:rsidR="00A00800" w:rsidRPr="00A00800">
        <w:rPr>
          <w:rFonts w:ascii="Calibri" w:hAnsi="Calibri" w:cs="Calibri"/>
          <w:b/>
          <w:bCs/>
          <w:color w:val="000000"/>
          <w:sz w:val="22"/>
          <w:szCs w:val="22"/>
        </w:rPr>
        <w:t xml:space="preserve">B/V vinařství z moravských 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Ratíškovic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 xml:space="preserve"> K</w:t>
      </w:r>
      <w:r w:rsidR="00026BAF">
        <w:rPr>
          <w:rFonts w:ascii="Calibri" w:hAnsi="Calibri" w:cs="Calibri"/>
          <w:b/>
          <w:bCs/>
          <w:color w:val="000000"/>
          <w:sz w:val="22"/>
          <w:szCs w:val="22"/>
        </w:rPr>
        <w:t>romě tohoto ocenění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 xml:space="preserve"> obdrželi</w:t>
      </w:r>
      <w:r w:rsidR="00026BAF">
        <w:rPr>
          <w:rFonts w:ascii="Calibri" w:hAnsi="Calibri" w:cs="Calibri"/>
          <w:b/>
          <w:bCs/>
          <w:color w:val="000000"/>
          <w:sz w:val="22"/>
          <w:szCs w:val="22"/>
        </w:rPr>
        <w:t xml:space="preserve"> naši vinaři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 xml:space="preserve"> dalších </w:t>
      </w:r>
      <w:r w:rsidR="00E8449C">
        <w:rPr>
          <w:rFonts w:ascii="Calibri" w:hAnsi="Calibri" w:cs="Calibri"/>
          <w:b/>
          <w:bCs/>
          <w:color w:val="000000"/>
          <w:sz w:val="22"/>
          <w:szCs w:val="22"/>
        </w:rPr>
        <w:t xml:space="preserve">úctyhodných 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32 medailí</w:t>
      </w:r>
      <w:r w:rsidR="00185DAD">
        <w:rPr>
          <w:rFonts w:ascii="Calibri" w:hAnsi="Calibri" w:cs="Calibri"/>
          <w:b/>
          <w:bCs/>
          <w:color w:val="000000"/>
          <w:sz w:val="22"/>
          <w:szCs w:val="22"/>
        </w:rPr>
        <w:t xml:space="preserve"> a </w:t>
      </w:r>
      <w:r w:rsidR="004D5A5E">
        <w:rPr>
          <w:rFonts w:ascii="Calibri" w:hAnsi="Calibri" w:cs="Calibri"/>
          <w:b/>
          <w:bCs/>
          <w:color w:val="000000"/>
          <w:sz w:val="22"/>
          <w:szCs w:val="22"/>
        </w:rPr>
        <w:t>potvrdili tak, že se jim na této soutěži tradičně daří</w:t>
      </w:r>
      <w:r w:rsidR="00A00800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>Účast na soutěžích finančně podpo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ruje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Vinařský fond a organizačně zaji</w:t>
      </w:r>
      <w:r w:rsidR="00B63933">
        <w:rPr>
          <w:rFonts w:ascii="Calibri" w:hAnsi="Calibri" w:cs="Calibri"/>
          <w:b/>
          <w:bCs/>
          <w:color w:val="000000"/>
          <w:sz w:val="22"/>
          <w:szCs w:val="22"/>
        </w:rPr>
        <w:t>šťuje</w:t>
      </w:r>
      <w:r w:rsidR="00A4145C" w:rsidRPr="00A4145C">
        <w:rPr>
          <w:rFonts w:ascii="Calibri" w:hAnsi="Calibri" w:cs="Calibri"/>
          <w:b/>
          <w:bCs/>
          <w:color w:val="000000"/>
          <w:sz w:val="22"/>
          <w:szCs w:val="22"/>
        </w:rPr>
        <w:t xml:space="preserve"> Národní vinařské centrum.</w:t>
      </w:r>
    </w:p>
    <w:p w14:paraId="2694D5E8" w14:textId="2B840BE8" w:rsidR="0074082A" w:rsidRPr="00866B77" w:rsidRDefault="007408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EB1B85" w14:textId="0CB1D9EC" w:rsidR="00AE052A" w:rsidRDefault="00026BAF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Spolu s </w:t>
      </w:r>
      <w:r w:rsidR="00AE052A">
        <w:rPr>
          <w:rFonts w:ascii="Calibri" w:hAnsi="Calibri" w:cs="Calibri"/>
          <w:color w:val="000000"/>
          <w:sz w:val="22"/>
          <w:szCs w:val="22"/>
        </w:rPr>
        <w:t>titul</w:t>
      </w:r>
      <w:r>
        <w:rPr>
          <w:rFonts w:ascii="Calibri" w:hAnsi="Calibri" w:cs="Calibri"/>
          <w:color w:val="000000"/>
          <w:sz w:val="22"/>
          <w:szCs w:val="22"/>
        </w:rPr>
        <w:t>em pro</w:t>
      </w:r>
      <w:r w:rsidR="00AE052A">
        <w:rPr>
          <w:rFonts w:ascii="Calibri" w:hAnsi="Calibri" w:cs="Calibri"/>
          <w:color w:val="000000"/>
          <w:sz w:val="22"/>
          <w:szCs w:val="22"/>
        </w:rPr>
        <w:t xml:space="preserve"> šampiona za nejlepší bílé víno </w:t>
      </w:r>
      <w:r>
        <w:rPr>
          <w:rFonts w:ascii="Calibri" w:hAnsi="Calibri" w:cs="Calibri"/>
          <w:color w:val="000000"/>
          <w:sz w:val="22"/>
          <w:szCs w:val="22"/>
        </w:rPr>
        <w:t xml:space="preserve">pro </w:t>
      </w:r>
      <w:r w:rsidR="00AE052A" w:rsidRPr="00AE052A">
        <w:rPr>
          <w:rFonts w:ascii="Calibri" w:hAnsi="Calibri" w:cs="Calibri"/>
          <w:color w:val="000000"/>
          <w:sz w:val="22"/>
          <w:szCs w:val="22"/>
        </w:rPr>
        <w:t>Ryzlink vlašský 2018 Reserva</w:t>
      </w:r>
      <w:r w:rsidR="00F12BD9">
        <w:rPr>
          <w:rFonts w:ascii="Calibri" w:hAnsi="Calibri" w:cs="Calibri"/>
          <w:color w:val="000000"/>
          <w:sz w:val="22"/>
          <w:szCs w:val="22"/>
        </w:rPr>
        <w:t>, pozdní sběr</w:t>
      </w:r>
      <w:r w:rsidR="00AE052A" w:rsidRPr="00AE05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52A">
        <w:rPr>
          <w:rFonts w:ascii="Calibri" w:hAnsi="Calibri" w:cs="Calibri"/>
          <w:color w:val="000000"/>
          <w:sz w:val="22"/>
          <w:szCs w:val="22"/>
        </w:rPr>
        <w:t>z</w:t>
      </w:r>
      <w:r w:rsidR="00AE052A" w:rsidRPr="00AE052A">
        <w:rPr>
          <w:rFonts w:ascii="Calibri" w:hAnsi="Calibri" w:cs="Calibri"/>
          <w:color w:val="000000"/>
          <w:sz w:val="22"/>
          <w:szCs w:val="22"/>
        </w:rPr>
        <w:t xml:space="preserve"> B/V vinařství </w:t>
      </w:r>
      <w:r>
        <w:rPr>
          <w:rFonts w:ascii="Calibri" w:hAnsi="Calibri" w:cs="Calibri"/>
          <w:color w:val="000000"/>
          <w:sz w:val="22"/>
          <w:szCs w:val="22"/>
        </w:rPr>
        <w:t xml:space="preserve">získala moravská a česká vína celkem 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32 medailí, z toho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="00AE052A">
        <w:rPr>
          <w:rFonts w:ascii="Calibri" w:hAnsi="Calibri" w:cs="Calibri"/>
          <w:color w:val="000000"/>
          <w:sz w:val="22"/>
          <w:szCs w:val="22"/>
        </w:rPr>
        <w:t xml:space="preserve"> velk</w:t>
      </w:r>
      <w:r>
        <w:rPr>
          <w:rFonts w:ascii="Calibri" w:hAnsi="Calibri" w:cs="Calibri"/>
          <w:color w:val="000000"/>
          <w:sz w:val="22"/>
          <w:szCs w:val="22"/>
        </w:rPr>
        <w:t>é</w:t>
      </w:r>
      <w:r w:rsidR="00AE052A">
        <w:rPr>
          <w:rFonts w:ascii="Calibri" w:hAnsi="Calibri" w:cs="Calibri"/>
          <w:color w:val="000000"/>
          <w:sz w:val="22"/>
          <w:szCs w:val="22"/>
        </w:rPr>
        <w:t xml:space="preserve"> zlaté, 7 zlatých a 23 stříbrných. </w:t>
      </w:r>
      <w:r w:rsidR="001A4A4B" w:rsidRPr="00FB3D8A">
        <w:rPr>
          <w:rFonts w:ascii="Calibri" w:hAnsi="Calibri" w:cs="Calibri"/>
          <w:color w:val="000000"/>
          <w:sz w:val="22"/>
          <w:szCs w:val="22"/>
        </w:rPr>
        <w:t xml:space="preserve">B/V vinařství 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tak </w:t>
      </w:r>
      <w:r w:rsidR="001A4A4B" w:rsidRPr="00FB3D8A">
        <w:rPr>
          <w:rFonts w:ascii="Calibri" w:hAnsi="Calibri" w:cs="Calibri"/>
          <w:color w:val="000000"/>
          <w:sz w:val="22"/>
          <w:szCs w:val="22"/>
        </w:rPr>
        <w:t>obhájilo loňský úspěch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, kdy </w:t>
      </w:r>
      <w:r w:rsidR="001A4A4B" w:rsidRPr="00FB3D8A">
        <w:rPr>
          <w:rFonts w:ascii="Calibri" w:hAnsi="Calibri" w:cs="Calibri"/>
          <w:color w:val="000000"/>
          <w:sz w:val="22"/>
          <w:szCs w:val="22"/>
        </w:rPr>
        <w:t>na domácí půdě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 v Brně </w:t>
      </w:r>
      <w:r w:rsidR="00224CB9">
        <w:rPr>
          <w:rFonts w:ascii="Calibri" w:hAnsi="Calibri" w:cs="Calibri"/>
          <w:color w:val="000000"/>
          <w:sz w:val="22"/>
          <w:szCs w:val="22"/>
        </w:rPr>
        <w:t>dostalo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 stejné ocenění pro nejlepší bílé </w:t>
      </w:r>
      <w:r w:rsidR="00224CB9">
        <w:rPr>
          <w:rFonts w:ascii="Calibri" w:hAnsi="Calibri" w:cs="Calibri"/>
          <w:color w:val="000000"/>
          <w:sz w:val="22"/>
          <w:szCs w:val="22"/>
        </w:rPr>
        <w:t xml:space="preserve">víno </w:t>
      </w:r>
      <w:r w:rsidR="001A4A4B">
        <w:rPr>
          <w:rFonts w:ascii="Calibri" w:hAnsi="Calibri" w:cs="Calibri"/>
          <w:color w:val="000000"/>
          <w:sz w:val="22"/>
          <w:szCs w:val="22"/>
        </w:rPr>
        <w:t>soutěže, ale za</w:t>
      </w:r>
      <w:r w:rsidR="001A4A4B" w:rsidRPr="00FB3D8A">
        <w:rPr>
          <w:rFonts w:ascii="Calibri" w:hAnsi="Calibri" w:cs="Calibri"/>
          <w:color w:val="000000"/>
          <w:sz w:val="22"/>
          <w:szCs w:val="22"/>
        </w:rPr>
        <w:t xml:space="preserve"> Hibernal 2015, výběr z hroznů.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 Kromě velké zlaté medaile pro šampiona přidalo vinařství ještě 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>3 zlat</w:t>
      </w:r>
      <w:r w:rsidR="001A4A4B">
        <w:rPr>
          <w:rFonts w:ascii="Calibri" w:hAnsi="Calibri" w:cs="Calibri"/>
          <w:color w:val="000000"/>
          <w:sz w:val="22"/>
          <w:szCs w:val="22"/>
        </w:rPr>
        <w:t>é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 xml:space="preserve"> a 3 stříbrn</w:t>
      </w:r>
      <w:r w:rsidR="001A4A4B">
        <w:rPr>
          <w:rFonts w:ascii="Calibri" w:hAnsi="Calibri" w:cs="Calibri"/>
          <w:color w:val="000000"/>
          <w:sz w:val="22"/>
          <w:szCs w:val="22"/>
        </w:rPr>
        <w:t>é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 xml:space="preserve"> medail</w:t>
      </w:r>
      <w:r w:rsidR="001A4A4B">
        <w:rPr>
          <w:rFonts w:ascii="Calibri" w:hAnsi="Calibri" w:cs="Calibri"/>
          <w:color w:val="000000"/>
          <w:sz w:val="22"/>
          <w:szCs w:val="22"/>
        </w:rPr>
        <w:t>e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>stalo</w:t>
      </w:r>
      <w:r w:rsidR="001A4A4B">
        <w:rPr>
          <w:rFonts w:ascii="Calibri" w:hAnsi="Calibri" w:cs="Calibri"/>
          <w:color w:val="000000"/>
          <w:sz w:val="22"/>
          <w:szCs w:val="22"/>
        </w:rPr>
        <w:t xml:space="preserve"> se tak</w:t>
      </w:r>
      <w:r w:rsidR="001A4A4B" w:rsidRPr="00026BAF">
        <w:rPr>
          <w:rFonts w:ascii="Calibri" w:hAnsi="Calibri" w:cs="Calibri"/>
          <w:color w:val="000000"/>
          <w:sz w:val="22"/>
          <w:szCs w:val="22"/>
        </w:rPr>
        <w:t xml:space="preserve"> nejúspěšnějším moravským zástupcem na soutěži.</w:t>
      </w:r>
    </w:p>
    <w:p w14:paraId="6F38FB18" w14:textId="50ADE42A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16F354" w14:textId="445C1074" w:rsidR="000B0D17" w:rsidRDefault="007E6A28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E6A28">
        <w:rPr>
          <w:rFonts w:ascii="Calibri" w:hAnsi="Calibri" w:cs="Calibri"/>
          <w:i/>
          <w:iCs/>
          <w:sz w:val="22"/>
          <w:szCs w:val="22"/>
        </w:rPr>
        <w:t>“Aktuálně zažíváme ve vinařství naprosto úžasné pocity, je to pro nás velmi výjimečné období. Když jsme v loňském roce vyhráli kategorii bílých vín, bylo to pro nás neskutečné. Byl to v zásadě tak velký úspěch, že nás ani ve snu nenapadlo, že by se mohl někdy opakovat, natož, že bychom stejnou kategorii obhájili i v následujícím roce. Navíc nás opravdu těší, že jsme uspěli s další odrůdou, konkrétně s Ryzlinkem vlašským, který je pro moravská vinařství jednou z klíčových odrůd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7E6A28">
        <w:rPr>
          <w:rFonts w:ascii="Calibri" w:hAnsi="Calibri" w:cs="Calibri"/>
          <w:i/>
          <w:iCs/>
          <w:sz w:val="22"/>
          <w:szCs w:val="22"/>
        </w:rPr>
        <w:t>”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B0D17" w:rsidRPr="007E6A28">
        <w:rPr>
          <w:rFonts w:ascii="Calibri" w:hAnsi="Calibri" w:cs="Calibri"/>
          <w:sz w:val="22"/>
          <w:szCs w:val="22"/>
        </w:rPr>
        <w:t xml:space="preserve">komentoval úspěch výkonný ředitel B\V vinařství Vlastimil Valenta a dodal: </w:t>
      </w:r>
      <w:r w:rsidR="000B0D17" w:rsidRPr="00942F54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i/>
          <w:iCs/>
          <w:sz w:val="22"/>
          <w:szCs w:val="22"/>
        </w:rPr>
        <w:t>v</w:t>
      </w:r>
      <w:r w:rsidRPr="007E6A28">
        <w:rPr>
          <w:rFonts w:ascii="Calibri" w:hAnsi="Calibri" w:cs="Calibri"/>
          <w:i/>
          <w:iCs/>
          <w:sz w:val="22"/>
          <w:szCs w:val="22"/>
        </w:rPr>
        <w:t>íno je zelenožluté barvy</w:t>
      </w:r>
      <w:r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E6A28">
        <w:rPr>
          <w:rFonts w:ascii="Calibri" w:hAnsi="Calibri" w:cs="Calibri"/>
          <w:i/>
          <w:iCs/>
          <w:sz w:val="22"/>
          <w:szCs w:val="22"/>
        </w:rPr>
        <w:t>Jemná ovocná vůně sušeného jablka a hrušky je doplněna náznakem cukrového melounu. Chuť je ovocně šťavnatá, s pikantní kyselinkou, dlouhá a komplexní, jelikož víno bylo školeno 12 měsíců na jemných kvasničných kalech ve velkém francouzském dubovém sudu.</w:t>
      </w:r>
      <w:r w:rsidR="000B0D17" w:rsidRPr="00942F54">
        <w:rPr>
          <w:rFonts w:ascii="Calibri" w:hAnsi="Calibri" w:cs="Calibri"/>
          <w:i/>
          <w:iCs/>
          <w:sz w:val="22"/>
          <w:szCs w:val="22"/>
        </w:rPr>
        <w:t>“</w:t>
      </w:r>
    </w:p>
    <w:p w14:paraId="101E628F" w14:textId="77777777" w:rsidR="000B0D17" w:rsidRDefault="000B0D17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6F06CF" w14:textId="79C6CF0B" w:rsidR="001A4A4B" w:rsidRDefault="001A4A4B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Druhou velkou zlatou medaili si přiváží Znovín Znojmo za Tramín červený 2017, výběr </w:t>
      </w:r>
      <w:r w:rsidR="00934BB5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 cibéb. Dvě zlaté medaile </w:t>
      </w:r>
      <w:r w:rsidR="00224CB9">
        <w:rPr>
          <w:rFonts w:ascii="Calibri" w:hAnsi="Calibri" w:cs="Calibri"/>
          <w:color w:val="000000"/>
          <w:sz w:val="22"/>
          <w:szCs w:val="22"/>
        </w:rPr>
        <w:t xml:space="preserve">pak </w:t>
      </w:r>
      <w:r>
        <w:rPr>
          <w:rFonts w:ascii="Calibri" w:hAnsi="Calibri" w:cs="Calibri"/>
          <w:color w:val="000000"/>
          <w:sz w:val="22"/>
          <w:szCs w:val="22"/>
        </w:rPr>
        <w:t xml:space="preserve">má ještě vinařství Volařík, po jedné Vinofol a </w:t>
      </w:r>
      <w:r w:rsidR="00224CB9">
        <w:rPr>
          <w:rFonts w:ascii="Calibri" w:hAnsi="Calibri" w:cs="Calibri"/>
          <w:color w:val="000000"/>
          <w:sz w:val="22"/>
          <w:szCs w:val="22"/>
        </w:rPr>
        <w:t>Z</w:t>
      </w:r>
      <w:r>
        <w:rPr>
          <w:rFonts w:ascii="Calibri" w:hAnsi="Calibri" w:cs="Calibri"/>
          <w:color w:val="000000"/>
          <w:sz w:val="22"/>
          <w:szCs w:val="22"/>
        </w:rPr>
        <w:t xml:space="preserve">ámecké vinařství Bzenec. </w:t>
      </w:r>
      <w:r w:rsidR="00E47EF3">
        <w:rPr>
          <w:rFonts w:ascii="Calibri" w:hAnsi="Calibri" w:cs="Calibri"/>
          <w:color w:val="000000"/>
          <w:sz w:val="22"/>
          <w:szCs w:val="22"/>
        </w:rPr>
        <w:t xml:space="preserve">Za zmínku určitě ještě stojí dvě stříbrné medaile pro vinařství Salabka, tedy </w:t>
      </w:r>
      <w:r w:rsidR="005201BD">
        <w:rPr>
          <w:rFonts w:ascii="Calibri" w:hAnsi="Calibri" w:cs="Calibri"/>
          <w:color w:val="000000"/>
          <w:sz w:val="22"/>
          <w:szCs w:val="22"/>
        </w:rPr>
        <w:t>víno</w:t>
      </w:r>
      <w:r w:rsidR="00224C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47EF3">
        <w:rPr>
          <w:rFonts w:ascii="Calibri" w:hAnsi="Calibri" w:cs="Calibri"/>
          <w:color w:val="000000"/>
          <w:sz w:val="22"/>
          <w:szCs w:val="22"/>
        </w:rPr>
        <w:t>z vinařské oblasti Čechy.</w:t>
      </w:r>
    </w:p>
    <w:p w14:paraId="1F6D0E62" w14:textId="77777777" w:rsidR="007C397D" w:rsidRDefault="007C397D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C93F67C" w14:textId="42D002BF" w:rsidR="004C73E8" w:rsidRDefault="00FB3D8A" w:rsidP="0074082A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Již 28. ročník mezinárodní soutěže vín </w:t>
      </w:r>
      <w:r w:rsidRPr="00FB3D8A">
        <w:rPr>
          <w:rFonts w:ascii="Calibri" w:hAnsi="Calibri" w:cs="Calibri"/>
          <w:color w:val="000000"/>
          <w:sz w:val="22"/>
          <w:szCs w:val="22"/>
        </w:rPr>
        <w:t>Concours Mondial de Bruxelles</w:t>
      </w:r>
      <w:r>
        <w:rPr>
          <w:rFonts w:ascii="Calibri" w:hAnsi="Calibri" w:cs="Calibri"/>
          <w:color w:val="000000"/>
          <w:sz w:val="22"/>
          <w:szCs w:val="22"/>
        </w:rPr>
        <w:t xml:space="preserve"> letos hostilo hlavní město Lucemburska Lucemburk. </w:t>
      </w:r>
      <w:r w:rsidR="00AE052A">
        <w:rPr>
          <w:rFonts w:ascii="Calibri" w:hAnsi="Calibri" w:cs="Calibri"/>
          <w:color w:val="000000"/>
          <w:sz w:val="22"/>
          <w:szCs w:val="22"/>
        </w:rPr>
        <w:t>O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d </w:t>
      </w:r>
      <w:r w:rsidR="00AE052A">
        <w:rPr>
          <w:rFonts w:ascii="Calibri" w:hAnsi="Calibri" w:cs="Calibri"/>
          <w:color w:val="000000"/>
          <w:sz w:val="22"/>
          <w:szCs w:val="22"/>
        </w:rPr>
        <w:t>17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. do </w:t>
      </w:r>
      <w:r w:rsidR="00AE052A">
        <w:rPr>
          <w:rFonts w:ascii="Calibri" w:hAnsi="Calibri" w:cs="Calibri"/>
          <w:color w:val="000000"/>
          <w:sz w:val="22"/>
          <w:szCs w:val="22"/>
        </w:rPr>
        <w:t>27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AE052A">
        <w:rPr>
          <w:rFonts w:ascii="Calibri" w:hAnsi="Calibri" w:cs="Calibri"/>
          <w:color w:val="000000"/>
          <w:sz w:val="22"/>
          <w:szCs w:val="22"/>
        </w:rPr>
        <w:t>června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 hodnotilo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052A">
        <w:rPr>
          <w:rFonts w:ascii="Calibri" w:hAnsi="Calibri" w:cs="Calibri"/>
          <w:color w:val="000000"/>
          <w:sz w:val="22"/>
          <w:szCs w:val="22"/>
        </w:rPr>
        <w:t>30</w:t>
      </w:r>
      <w:r w:rsidR="00BA3DFE">
        <w:rPr>
          <w:rFonts w:ascii="Calibri" w:hAnsi="Calibri" w:cs="Calibri"/>
          <w:color w:val="000000"/>
          <w:sz w:val="22"/>
          <w:szCs w:val="22"/>
        </w:rPr>
        <w:t>0</w:t>
      </w:r>
      <w:r w:rsidR="0034685E">
        <w:rPr>
          <w:rFonts w:ascii="Calibri" w:hAnsi="Calibri" w:cs="Calibri"/>
          <w:color w:val="000000"/>
          <w:sz w:val="22"/>
          <w:szCs w:val="22"/>
        </w:rPr>
        <w:t xml:space="preserve"> zkušených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vinařských světových odborníků </w:t>
      </w:r>
      <w:r w:rsidR="00AE052A">
        <w:rPr>
          <w:rFonts w:ascii="Calibri" w:hAnsi="Calibri" w:cs="Calibri"/>
          <w:color w:val="000000"/>
          <w:sz w:val="22"/>
          <w:szCs w:val="22"/>
        </w:rPr>
        <w:t>10 000</w:t>
      </w:r>
      <w:r w:rsidR="00BA3DF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55BB9">
        <w:rPr>
          <w:rFonts w:ascii="Calibri" w:hAnsi="Calibri" w:cs="Calibri"/>
          <w:color w:val="000000"/>
          <w:sz w:val="22"/>
          <w:szCs w:val="22"/>
        </w:rPr>
        <w:t>vín ze 46 zemí světa, mezi nimi také</w:t>
      </w:r>
      <w:r w:rsidR="003E4C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141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 vín </w:t>
      </w:r>
      <w:r>
        <w:rPr>
          <w:rFonts w:ascii="Calibri" w:hAnsi="Calibri" w:cs="Calibri"/>
          <w:color w:val="000000"/>
          <w:sz w:val="22"/>
          <w:szCs w:val="22"/>
        </w:rPr>
        <w:t xml:space="preserve">od 26 vinařů a vinařství </w:t>
      </w:r>
      <w:r w:rsidR="00A55BB9">
        <w:rPr>
          <w:rFonts w:ascii="Calibri" w:hAnsi="Calibri" w:cs="Calibri"/>
          <w:color w:val="000000"/>
          <w:sz w:val="22"/>
          <w:szCs w:val="22"/>
        </w:rPr>
        <w:t xml:space="preserve">z České republiky. </w:t>
      </w:r>
      <w:r>
        <w:rPr>
          <w:rFonts w:ascii="Calibri" w:hAnsi="Calibri" w:cs="Calibri"/>
          <w:color w:val="000000"/>
          <w:sz w:val="22"/>
          <w:szCs w:val="22"/>
        </w:rPr>
        <w:t>Své zastoupení na soutěži měli i naši vinařští odborníci, kdy v porotě zasedl</w:t>
      </w:r>
      <w:r w:rsidR="005201BD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 Ing. Pavel Krška, </w:t>
      </w:r>
      <w:r w:rsidRPr="00FB3D8A">
        <w:rPr>
          <w:rFonts w:ascii="Calibri" w:hAnsi="Calibri" w:cs="Calibri"/>
          <w:color w:val="000000"/>
          <w:sz w:val="22"/>
          <w:szCs w:val="22"/>
        </w:rPr>
        <w:t>Ing. Martin Půček</w:t>
      </w:r>
      <w:r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457B67">
        <w:rPr>
          <w:rFonts w:ascii="Calibri" w:hAnsi="Calibri" w:cs="Calibri"/>
          <w:color w:val="000000"/>
          <w:sz w:val="22"/>
          <w:szCs w:val="22"/>
        </w:rPr>
        <w:t xml:space="preserve">Mgr. </w:t>
      </w:r>
      <w:r>
        <w:rPr>
          <w:rFonts w:ascii="Calibri" w:hAnsi="Calibri" w:cs="Calibri"/>
          <w:color w:val="000000"/>
          <w:sz w:val="22"/>
          <w:szCs w:val="22"/>
        </w:rPr>
        <w:t xml:space="preserve">Michal Šetka a </w:t>
      </w:r>
      <w:r w:rsidRPr="00FB3D8A">
        <w:rPr>
          <w:rFonts w:ascii="Calibri" w:hAnsi="Calibri" w:cs="Calibri"/>
          <w:color w:val="000000"/>
          <w:sz w:val="22"/>
          <w:szCs w:val="22"/>
        </w:rPr>
        <w:t>JUDr. Luboš Bárta</w:t>
      </w:r>
      <w:r>
        <w:rPr>
          <w:rFonts w:ascii="Calibri" w:hAnsi="Calibri" w:cs="Calibri"/>
          <w:color w:val="000000"/>
          <w:sz w:val="22"/>
          <w:szCs w:val="22"/>
        </w:rPr>
        <w:t xml:space="preserve">. Nejvíce medailí získala </w:t>
      </w:r>
      <w:r w:rsidRPr="00FB3D8A">
        <w:rPr>
          <w:rFonts w:ascii="Calibri" w:hAnsi="Calibri" w:cs="Calibri"/>
          <w:color w:val="000000"/>
          <w:sz w:val="22"/>
          <w:szCs w:val="22"/>
        </w:rPr>
        <w:t>Francie (672), následovaná Španělskem (507), Itálií (389) a Portugalskem (335)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37C84586" w14:textId="530FD21E" w:rsidR="00571058" w:rsidRDefault="00ED5D00" w:rsidP="00274B97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054">
        <w:rPr>
          <w:rFonts w:ascii="Calibri" w:hAnsi="Calibri" w:cs="Calibri"/>
          <w:sz w:val="22"/>
          <w:szCs w:val="22"/>
        </w:rPr>
        <w:lastRenderedPageBreak/>
        <w:t xml:space="preserve">Mezinárodní soutěž vín Concours Mondial de Bruxelles se poprvé konala v roce 1994. V prvních letech hodnocení probíhalo v Bruselu, </w:t>
      </w:r>
      <w:r w:rsidR="00C11FDE">
        <w:rPr>
          <w:rFonts w:ascii="Calibri" w:hAnsi="Calibri" w:cs="Calibri"/>
          <w:sz w:val="22"/>
          <w:szCs w:val="22"/>
        </w:rPr>
        <w:t>v roce 2006</w:t>
      </w:r>
      <w:r w:rsidRPr="00421054">
        <w:rPr>
          <w:rFonts w:ascii="Calibri" w:hAnsi="Calibri" w:cs="Calibri"/>
          <w:sz w:val="22"/>
          <w:szCs w:val="22"/>
        </w:rPr>
        <w:t xml:space="preserve"> začalo být místo hodnocení putovní mezi významnými vinařskými regiony Evropy. Uskutečnilo se např. v Plovdivu (Bulharsko), v Jesolu (Itálie), Guimares (Portugalsko), Luxemburku (Lucembursko), Bratislavě (Slovensko)</w:t>
      </w:r>
      <w:r w:rsidR="008E3721">
        <w:rPr>
          <w:rFonts w:ascii="Calibri" w:hAnsi="Calibri" w:cs="Calibri"/>
          <w:sz w:val="22"/>
          <w:szCs w:val="22"/>
        </w:rPr>
        <w:t xml:space="preserve">, </w:t>
      </w:r>
      <w:r w:rsidR="008E3721" w:rsidRPr="008E3721">
        <w:rPr>
          <w:rFonts w:ascii="Calibri" w:hAnsi="Calibri" w:cs="Calibri"/>
          <w:sz w:val="22"/>
          <w:szCs w:val="22"/>
        </w:rPr>
        <w:t>Aiglé</w:t>
      </w:r>
      <w:r w:rsidR="008E3721">
        <w:rPr>
          <w:rFonts w:ascii="Calibri" w:hAnsi="Calibri" w:cs="Calibri"/>
          <w:sz w:val="22"/>
          <w:szCs w:val="22"/>
        </w:rPr>
        <w:t xml:space="preserve"> (</w:t>
      </w:r>
      <w:r w:rsidR="008E3721" w:rsidRPr="008E3721">
        <w:rPr>
          <w:rFonts w:ascii="Calibri" w:hAnsi="Calibri" w:cs="Calibri"/>
          <w:sz w:val="22"/>
          <w:szCs w:val="22"/>
        </w:rPr>
        <w:t>Švýcarsko</w:t>
      </w:r>
      <w:r w:rsidR="008E3721">
        <w:rPr>
          <w:rFonts w:ascii="Calibri" w:hAnsi="Calibri" w:cs="Calibri"/>
          <w:sz w:val="22"/>
          <w:szCs w:val="22"/>
        </w:rPr>
        <w:t>)</w:t>
      </w:r>
      <w:r w:rsidRPr="00421054">
        <w:rPr>
          <w:rFonts w:ascii="Calibri" w:hAnsi="Calibri" w:cs="Calibri"/>
          <w:sz w:val="22"/>
          <w:szCs w:val="22"/>
        </w:rPr>
        <w:t xml:space="preserve"> a dalších. </w:t>
      </w:r>
      <w:r w:rsidR="00D33EA4">
        <w:rPr>
          <w:rFonts w:ascii="Calibri" w:hAnsi="Calibri" w:cs="Calibri"/>
          <w:sz w:val="22"/>
          <w:szCs w:val="22"/>
        </w:rPr>
        <w:t>V</w:t>
      </w:r>
      <w:r w:rsidR="00AE052A">
        <w:rPr>
          <w:rFonts w:ascii="Calibri" w:hAnsi="Calibri" w:cs="Calibri"/>
          <w:sz w:val="22"/>
          <w:szCs w:val="22"/>
        </w:rPr>
        <w:t> </w:t>
      </w:r>
      <w:r w:rsidR="00D33EA4">
        <w:rPr>
          <w:rFonts w:ascii="Calibri" w:hAnsi="Calibri" w:cs="Calibri"/>
          <w:sz w:val="22"/>
          <w:szCs w:val="22"/>
        </w:rPr>
        <w:t>roce</w:t>
      </w:r>
      <w:r w:rsidR="00AE052A">
        <w:rPr>
          <w:rFonts w:ascii="Calibri" w:hAnsi="Calibri" w:cs="Calibri"/>
          <w:sz w:val="22"/>
          <w:szCs w:val="22"/>
        </w:rPr>
        <w:t xml:space="preserve"> 2020</w:t>
      </w:r>
      <w:r w:rsidR="00D33EA4">
        <w:rPr>
          <w:rFonts w:ascii="Calibri" w:hAnsi="Calibri" w:cs="Calibri"/>
          <w:sz w:val="22"/>
          <w:szCs w:val="22"/>
        </w:rPr>
        <w:t xml:space="preserve"> soutěž poprvé hostilo moravské Brno.</w:t>
      </w:r>
      <w:r w:rsidR="00472ACE">
        <w:rPr>
          <w:rFonts w:ascii="Calibri" w:hAnsi="Calibri" w:cs="Calibri"/>
          <w:sz w:val="22"/>
          <w:szCs w:val="22"/>
        </w:rPr>
        <w:t xml:space="preserve"> </w:t>
      </w:r>
      <w:r w:rsidR="00571058" w:rsidRPr="00421054">
        <w:rPr>
          <w:rFonts w:ascii="Calibri" w:hAnsi="Calibri" w:cs="Calibri"/>
          <w:sz w:val="22"/>
          <w:szCs w:val="22"/>
        </w:rPr>
        <w:t>Česká republika se účastn</w:t>
      </w:r>
      <w:r w:rsidR="006B71E8">
        <w:rPr>
          <w:rFonts w:ascii="Calibri" w:hAnsi="Calibri" w:cs="Calibri"/>
          <w:sz w:val="22"/>
          <w:szCs w:val="22"/>
        </w:rPr>
        <w:t>í</w:t>
      </w:r>
      <w:r w:rsidR="00571058" w:rsidRPr="00421054">
        <w:rPr>
          <w:rFonts w:ascii="Calibri" w:hAnsi="Calibri" w:cs="Calibri"/>
          <w:sz w:val="22"/>
          <w:szCs w:val="22"/>
        </w:rPr>
        <w:t xml:space="preserve"> soutěže od samého počátku v roce 1994.</w:t>
      </w:r>
      <w:r w:rsidR="00571058">
        <w:rPr>
          <w:rFonts w:ascii="Calibri" w:hAnsi="Calibri" w:cs="Calibri"/>
          <w:sz w:val="22"/>
          <w:szCs w:val="22"/>
        </w:rPr>
        <w:t xml:space="preserve"> </w:t>
      </w:r>
    </w:p>
    <w:p w14:paraId="0659466F" w14:textId="77777777" w:rsidR="000A66D6" w:rsidRDefault="000A66D6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1FF076" w14:textId="6043ADAC" w:rsidR="008E395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6A7907" w14:textId="52B1B757" w:rsidR="008E3721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B1C460E" w14:textId="77777777" w:rsidR="00790CA4" w:rsidRDefault="00790CA4" w:rsidP="00790CA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56B844E7" w14:textId="77777777" w:rsidR="00790CA4" w:rsidRPr="00EF5C6F" w:rsidRDefault="00790CA4" w:rsidP="00790CA4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71971FD5" w14:textId="76382622" w:rsidR="008E3721" w:rsidRPr="008E3721" w:rsidRDefault="00790CA4" w:rsidP="00790CA4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</w:p>
    <w:p w14:paraId="4F0BA7A9" w14:textId="77777777" w:rsidR="008E3721" w:rsidRPr="003713FF" w:rsidRDefault="008E3721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8BCA6F1" w14:textId="1DFAE303" w:rsidR="00274B97" w:rsidRPr="00EF5C6F" w:rsidRDefault="008B50E4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s.r.o.                                                               </w:t>
      </w:r>
    </w:p>
    <w:p w14:paraId="385D2D44" w14:textId="54B4109A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2" w:history="1">
        <w:r w:rsidR="008B50E4" w:rsidRPr="00F9462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699E48A4" w14:textId="2B880040" w:rsidR="00274B97" w:rsidRDefault="00274B97" w:rsidP="00274B97">
      <w:pPr>
        <w:rPr>
          <w:rFonts w:ascii="Arial" w:hAnsi="Arial" w:cs="Arial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8B50E4">
        <w:rPr>
          <w:rFonts w:ascii="Calibri" w:hAnsi="Calibri" w:cs="Calibri"/>
          <w:sz w:val="22"/>
          <w:szCs w:val="22"/>
        </w:rPr>
        <w:t> 606 282 673</w:t>
      </w:r>
    </w:p>
    <w:p w14:paraId="0D335BD3" w14:textId="25F83A00" w:rsidR="00897AD2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sz w:val="22"/>
          <w:szCs w:val="22"/>
        </w:rPr>
        <w:br/>
      </w:r>
      <w:r w:rsidRPr="003713FF">
        <w:rPr>
          <w:rFonts w:ascii="Calibri" w:hAnsi="Calibri" w:cs="Calibri"/>
          <w:b/>
          <w:sz w:val="22"/>
          <w:szCs w:val="22"/>
        </w:rPr>
        <w:t>Více</w:t>
      </w:r>
      <w:r w:rsidR="00A02600" w:rsidRPr="003713FF">
        <w:rPr>
          <w:rFonts w:ascii="Calibri" w:hAnsi="Calibri" w:cs="Calibri"/>
          <w:b/>
          <w:sz w:val="22"/>
          <w:szCs w:val="22"/>
        </w:rPr>
        <w:t xml:space="preserve"> </w:t>
      </w:r>
      <w:r w:rsidR="008B50E4">
        <w:rPr>
          <w:rFonts w:ascii="Calibri" w:hAnsi="Calibri" w:cs="Calibri"/>
          <w:b/>
          <w:sz w:val="22"/>
          <w:szCs w:val="22"/>
        </w:rPr>
        <w:t xml:space="preserve">informací </w:t>
      </w:r>
      <w:r w:rsidR="0050083A">
        <w:rPr>
          <w:rFonts w:ascii="Calibri" w:hAnsi="Calibri" w:cs="Calibri"/>
          <w:b/>
          <w:sz w:val="22"/>
          <w:szCs w:val="22"/>
        </w:rPr>
        <w:t xml:space="preserve">o soutěži </w:t>
      </w:r>
      <w:r w:rsidR="008B50E4">
        <w:rPr>
          <w:rFonts w:ascii="Calibri" w:hAnsi="Calibri" w:cs="Calibri"/>
          <w:b/>
          <w:sz w:val="22"/>
          <w:szCs w:val="22"/>
        </w:rPr>
        <w:t xml:space="preserve">na </w:t>
      </w:r>
      <w:hyperlink r:id="rId13" w:history="1">
        <w:r w:rsidR="00206E32" w:rsidRPr="00FC74A8">
          <w:rPr>
            <w:rStyle w:val="Hypertextovodkaz"/>
            <w:rFonts w:ascii="Calibri" w:hAnsi="Calibri" w:cs="Calibri"/>
            <w:b/>
            <w:sz w:val="22"/>
            <w:szCs w:val="22"/>
          </w:rPr>
          <w:t>www.concoursmondial.com</w:t>
        </w:r>
      </w:hyperlink>
      <w:r w:rsidR="00897AD2">
        <w:rPr>
          <w:rFonts w:ascii="Calibri" w:hAnsi="Calibri" w:cs="Calibri"/>
          <w:b/>
          <w:sz w:val="22"/>
          <w:szCs w:val="22"/>
        </w:rPr>
        <w:t>.</w:t>
      </w:r>
    </w:p>
    <w:p w14:paraId="7855AB98" w14:textId="232C2185" w:rsidR="008E3957" w:rsidRDefault="00897AD2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moravských a českých vínech</w:t>
      </w:r>
      <w:r w:rsidR="0050083A">
        <w:rPr>
          <w:rFonts w:ascii="Calibri" w:hAnsi="Calibri" w:cs="Calibri"/>
          <w:b/>
          <w:sz w:val="22"/>
          <w:szCs w:val="22"/>
        </w:rPr>
        <w:t xml:space="preserve"> na </w:t>
      </w:r>
      <w:r w:rsidR="008B50E4">
        <w:rPr>
          <w:rFonts w:ascii="Calibri" w:hAnsi="Calibri" w:cs="Calibri"/>
          <w:b/>
          <w:sz w:val="22"/>
          <w:szCs w:val="22"/>
        </w:rPr>
        <w:t xml:space="preserve"> </w:t>
      </w:r>
      <w:hyperlink r:id="rId14" w:history="1">
        <w:r w:rsidR="008B50E4" w:rsidRPr="00F9462E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CE47A1">
        <w:rPr>
          <w:rFonts w:ascii="Calibri" w:hAnsi="Calibri" w:cs="Calibri"/>
          <w:b/>
          <w:sz w:val="22"/>
          <w:szCs w:val="22"/>
        </w:rPr>
        <w:t xml:space="preserve">. </w:t>
      </w:r>
    </w:p>
    <w:p w14:paraId="6F0EA23C" w14:textId="77777777" w:rsidR="008969E5" w:rsidRPr="003713FF" w:rsidRDefault="008969E5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Style w:val="Mkatabulky"/>
        <w:tblW w:w="0" w:type="auto"/>
        <w:tblInd w:w="113" w:type="dxa"/>
        <w:tblLook w:val="04A0" w:firstRow="1" w:lastRow="0" w:firstColumn="1" w:lastColumn="0" w:noHBand="0" w:noVBand="1"/>
      </w:tblPr>
      <w:tblGrid>
        <w:gridCol w:w="3020"/>
        <w:gridCol w:w="4913"/>
        <w:gridCol w:w="1129"/>
      </w:tblGrid>
      <w:tr w:rsidR="008969E5" w14:paraId="1B449ABC" w14:textId="77777777" w:rsidTr="008969E5">
        <w:tc>
          <w:tcPr>
            <w:tcW w:w="3020" w:type="dxa"/>
          </w:tcPr>
          <w:p w14:paraId="1A5FF41A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13" w:type="dxa"/>
          </w:tcPr>
          <w:p w14:paraId="6E244370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129" w:type="dxa"/>
          </w:tcPr>
          <w:p w14:paraId="003C1029" w14:textId="77777777" w:rsidR="008969E5" w:rsidRPr="00F016B5" w:rsidRDefault="008969E5" w:rsidP="000F471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8969E5" w14:paraId="47030C8E" w14:textId="77777777" w:rsidTr="008969E5">
        <w:tc>
          <w:tcPr>
            <w:tcW w:w="3020" w:type="dxa"/>
            <w:shd w:val="clear" w:color="auto" w:fill="FFD966" w:themeFill="accent4" w:themeFillTint="99"/>
            <w:vAlign w:val="bottom"/>
          </w:tcPr>
          <w:p w14:paraId="66429FB8" w14:textId="0F3C6DF9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FFD966" w:themeFill="accent4" w:themeFillTint="99"/>
            <w:vAlign w:val="bottom"/>
          </w:tcPr>
          <w:p w14:paraId="24F64B1C" w14:textId="4F9E442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Ryzlink vlašský 2018 Reserva, pozdní sběr</w:t>
            </w:r>
          </w:p>
        </w:tc>
        <w:tc>
          <w:tcPr>
            <w:tcW w:w="1129" w:type="dxa"/>
            <w:shd w:val="clear" w:color="auto" w:fill="FFD966" w:themeFill="accent4" w:themeFillTint="99"/>
            <w:vAlign w:val="bottom"/>
          </w:tcPr>
          <w:p w14:paraId="17AC45EB" w14:textId="4B40147D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Velká zlatá + Šampion bílých vín</w:t>
            </w:r>
          </w:p>
        </w:tc>
      </w:tr>
      <w:tr w:rsidR="008969E5" w14:paraId="52D3D538" w14:textId="77777777" w:rsidTr="008969E5">
        <w:tc>
          <w:tcPr>
            <w:tcW w:w="3020" w:type="dxa"/>
            <w:shd w:val="clear" w:color="auto" w:fill="FFD966" w:themeFill="accent4" w:themeFillTint="99"/>
            <w:vAlign w:val="bottom"/>
          </w:tcPr>
          <w:p w14:paraId="5B0588AA" w14:textId="776AAAC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FFD966" w:themeFill="accent4" w:themeFillTint="99"/>
            <w:vAlign w:val="bottom"/>
          </w:tcPr>
          <w:p w14:paraId="7E58BCDE" w14:textId="6D1C578E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 xml:space="preserve">Tramín červený 2017, výběr </w:t>
            </w:r>
            <w:r w:rsidR="00934BB5">
              <w:rPr>
                <w:rFonts w:ascii="Calibri" w:hAnsi="Calibri" w:cs="Calibri"/>
                <w:sz w:val="20"/>
                <w:szCs w:val="20"/>
              </w:rPr>
              <w:t>z</w:t>
            </w:r>
            <w:r w:rsidRPr="008969E5">
              <w:rPr>
                <w:rFonts w:ascii="Calibri" w:hAnsi="Calibri" w:cs="Calibri"/>
                <w:sz w:val="20"/>
                <w:szCs w:val="20"/>
              </w:rPr>
              <w:t xml:space="preserve"> cibéb</w:t>
            </w:r>
          </w:p>
        </w:tc>
        <w:tc>
          <w:tcPr>
            <w:tcW w:w="1129" w:type="dxa"/>
            <w:shd w:val="clear" w:color="auto" w:fill="FFD966" w:themeFill="accent4" w:themeFillTint="99"/>
            <w:vAlign w:val="bottom"/>
          </w:tcPr>
          <w:p w14:paraId="2D528C0F" w14:textId="7A33CDB3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Velká zlatá</w:t>
            </w:r>
          </w:p>
        </w:tc>
      </w:tr>
      <w:tr w:rsidR="008969E5" w14:paraId="3068442F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3A7A0E8" w14:textId="0740157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0D4BCC5" w14:textId="2372B94A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Ryzlink rýnský 2018 Reserva barrique,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C5ABF43" w14:textId="0C687B4F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DB8467E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B0C868F" w14:textId="3DD875EF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1A92DA5E" w14:textId="5F26C62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Neronet 2015 Reserva, výběr z 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0ED00764" w14:textId="4761B8B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E287BF1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01752E56" w14:textId="61B7744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77F5590" w14:textId="4995AF25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Ryzlink rýnský 2017 Reserva,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3B023142" w14:textId="06582A0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7D6E3AF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227AF4E" w14:textId="3E46246B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Vinařství Volařík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577D2C9C" w14:textId="45DE8C8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Ryzlink vlašský 2019,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78253E60" w14:textId="1E261978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711F61A9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19E97F54" w14:textId="7B1703F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Vinařství Volařík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2DC66952" w14:textId="3FFAB1F2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Ryzlink vlašský 2018, výběr z hroznů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FC34449" w14:textId="2441B1C3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405AF86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5BF272A0" w14:textId="3DE68D3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Vinofol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7F24430E" w14:textId="6AA131AF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Kerner 2018, výběr z bobulí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2D2D759C" w14:textId="102499EE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4CCD7E9B" w14:textId="77777777" w:rsidTr="008969E5">
        <w:tc>
          <w:tcPr>
            <w:tcW w:w="3020" w:type="dxa"/>
            <w:shd w:val="clear" w:color="auto" w:fill="FFC000" w:themeFill="accent4"/>
            <w:vAlign w:val="bottom"/>
          </w:tcPr>
          <w:p w14:paraId="292B76F5" w14:textId="034D06D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Zámecké vinařství Bzenec</w:t>
            </w:r>
          </w:p>
        </w:tc>
        <w:tc>
          <w:tcPr>
            <w:tcW w:w="4913" w:type="dxa"/>
            <w:shd w:val="clear" w:color="auto" w:fill="FFC000" w:themeFill="accent4"/>
            <w:vAlign w:val="bottom"/>
          </w:tcPr>
          <w:p w14:paraId="037F4F3A" w14:textId="0E7B9D2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Veltlínské zelené 2019, pozdní sběr</w:t>
            </w:r>
          </w:p>
        </w:tc>
        <w:tc>
          <w:tcPr>
            <w:tcW w:w="1129" w:type="dxa"/>
            <w:shd w:val="clear" w:color="auto" w:fill="FFC000" w:themeFill="accent4"/>
            <w:vAlign w:val="bottom"/>
          </w:tcPr>
          <w:p w14:paraId="460F1CB7" w14:textId="74BAE3C9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Zlatá</w:t>
            </w:r>
          </w:p>
        </w:tc>
      </w:tr>
      <w:tr w:rsidR="008969E5" w14:paraId="5F57B129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027EF041" w14:textId="5C372B44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Annovino vinařství Lednice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AD3AF53" w14:textId="15D2623F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Pálava 2019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5F9E876" w14:textId="5156C14E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E9C5732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23457DF" w14:textId="01CC073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Arte vini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6D1BE804" w14:textId="70C89681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Veltlínské zelené VOC 2019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62A0D1C5" w14:textId="4BFBDEB6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6C25ACBD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5EC9F0D4" w14:textId="29E3C6B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Arte vini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428E2CA" w14:textId="5BB2DCE8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Ryzlink rýnský 2020, moravské zemské víno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F9116D5" w14:textId="3C1FBF4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77C7885E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C60B3CF" w14:textId="0B21AC25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4DF14CC" w14:textId="1393197E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Frankovka 2015 Reserva,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D2D8EAF" w14:textId="48A63C9F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14F2AC67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3CC77236" w14:textId="7503B77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A756964" w14:textId="066322D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Ryzlink rýnský 2018,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5591120" w14:textId="3663210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7874A366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3CCCB29A" w14:textId="72F93F7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B/V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3EC86DB" w14:textId="74F9265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Chardonnay 2017 Reserva,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73FE28EB" w14:textId="6A0480DA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9EF4236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2DAD6CC7" w14:textId="4EBC80A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132D758" w14:textId="157D779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Bohemia Sekt Prestige Chardonnay brut 2017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467C4EFE" w14:textId="580A5F98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32ADFB5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5ACBE696" w14:textId="6CF9E4EB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B59E195" w14:textId="48FAAA88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Bohemia Sekt Louis Girardot brut 2017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22FE9D9" w14:textId="1808426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2D8B101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3ED4ED3C" w14:textId="363EA43A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Salabka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99DDF68" w14:textId="576B3AAF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Cahrdonnay 2019, české zemské víno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8904CA3" w14:textId="5BE05A1D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3D13482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6E0B3825" w14:textId="6A9E1A3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Salabka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F75D9E7" w14:textId="467477FB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La Noble 2016, české zemské víno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7355381" w14:textId="12E5E47F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FE20230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BD8455A" w14:textId="5ABC639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Štěpán Maňák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2E97DA3" w14:textId="1199D08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Hibernal 2020,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285BE4B" w14:textId="6AC23A59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3D3E231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0C7AB518" w14:textId="55DFCE72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Štěpán Maňák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A822266" w14:textId="426147B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Chardonnay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4D6E843C" w14:textId="597D646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70295DD6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129936F6" w14:textId="0F14F668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Thaya Vinařství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ADE47F2" w14:textId="04ECC222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Veltlínské zelené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5C7ADAD1" w14:textId="79CCFFBD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463DD8D8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E01D9BE" w14:textId="5665F31A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Vinařství Kněží Hora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80B49BB" w14:textId="5356179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Chardonnay OAK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54186093" w14:textId="3A1F8778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1028058D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DB4B075" w14:textId="2A947CEC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Vinařství Mikrosvín Mikulov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27E2581D" w14:textId="327FB7C7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Veltlínské zelené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15B21AF" w14:textId="484B3739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60CA5ECE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6A69B6EE" w14:textId="71573BD1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Vinařství Pavlov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749BB7F4" w14:textId="72C0B638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Chardonnay 2017,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4ECF046" w14:textId="46CB396F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9F335C6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EA3F993" w14:textId="7A6B8EB6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Vinařství Vajbar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03AA5618" w14:textId="6B3349DD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Tramín červený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8B59A74" w14:textId="4D565F71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D9733DD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262BA67" w14:textId="405647F9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Vinařství Volařík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095FA94" w14:textId="1C6025AC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Pálava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4BACEAB" w14:textId="105F1DF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0E2D152A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1CAD728A" w14:textId="0B18C280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Vinné sklepy Lechovice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450FD606" w14:textId="6EFC5ECA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Sekt Lechovice Brut 2017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0B927F5F" w14:textId="7A9A2E35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C22BFB1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7291A1D4" w14:textId="77169EBA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Vinné sklepy Lechovice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57FA3D59" w14:textId="1ECAB729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Pálava 2017,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36105893" w14:textId="1E33BF12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70B0BB7C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C20BD4C" w14:textId="27FCA721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Zámecké vinařství Bzenec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F0AD7D7" w14:textId="1A1098F5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Ryzlink rýnský 2018,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7E0714AA" w14:textId="741ED70C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0F0A5A8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7157C75" w14:textId="79CB0781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Zámecké vinařství Bzenec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1E546A73" w14:textId="7FA0E243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Chardonnay 2019, pozdní sběr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27847E5E" w14:textId="779240F7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  <w:tr w:rsidR="008969E5" w14:paraId="2F3A46CF" w14:textId="77777777" w:rsidTr="008969E5">
        <w:tc>
          <w:tcPr>
            <w:tcW w:w="3020" w:type="dxa"/>
            <w:shd w:val="clear" w:color="auto" w:fill="A5A5A5" w:themeFill="accent3"/>
            <w:vAlign w:val="bottom"/>
          </w:tcPr>
          <w:p w14:paraId="4B0FD8C6" w14:textId="027AA9D1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Znovín Znojmo</w:t>
            </w:r>
          </w:p>
        </w:tc>
        <w:tc>
          <w:tcPr>
            <w:tcW w:w="4913" w:type="dxa"/>
            <w:shd w:val="clear" w:color="auto" w:fill="A5A5A5" w:themeFill="accent3"/>
            <w:vAlign w:val="bottom"/>
          </w:tcPr>
          <w:p w14:paraId="39FC0D5B" w14:textId="19A6F1B5" w:rsidR="008969E5" w:rsidRPr="008969E5" w:rsidRDefault="008969E5" w:rsidP="008969E5">
            <w:pPr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color w:val="000000"/>
                <w:sz w:val="20"/>
                <w:szCs w:val="20"/>
              </w:rPr>
              <w:t>Ryzlink rýnský 2019, výběr z hroznů</w:t>
            </w:r>
          </w:p>
        </w:tc>
        <w:tc>
          <w:tcPr>
            <w:tcW w:w="1129" w:type="dxa"/>
            <w:shd w:val="clear" w:color="auto" w:fill="A5A5A5" w:themeFill="accent3"/>
            <w:vAlign w:val="bottom"/>
          </w:tcPr>
          <w:p w14:paraId="15992557" w14:textId="190CD900" w:rsidR="008969E5" w:rsidRPr="008969E5" w:rsidRDefault="008969E5" w:rsidP="008969E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969E5">
              <w:rPr>
                <w:rFonts w:ascii="Calibri" w:hAnsi="Calibri" w:cs="Calibri"/>
                <w:sz w:val="20"/>
                <w:szCs w:val="20"/>
              </w:rPr>
              <w:t>Stříbrná</w:t>
            </w:r>
          </w:p>
        </w:tc>
      </w:tr>
    </w:tbl>
    <w:p w14:paraId="081556B1" w14:textId="77777777" w:rsidR="00F12BD9" w:rsidRPr="003713FF" w:rsidRDefault="00F12BD9" w:rsidP="008969E5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F12BD9" w:rsidRPr="003713FF" w:rsidSect="000A66D6">
      <w:headerReference w:type="default" r:id="rId15"/>
      <w:pgSz w:w="11906" w:h="16838"/>
      <w:pgMar w:top="1079" w:right="1417" w:bottom="1417" w:left="1417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F2C4E" w14:textId="77777777" w:rsidR="00547708" w:rsidRDefault="00547708">
      <w:r>
        <w:separator/>
      </w:r>
    </w:p>
  </w:endnote>
  <w:endnote w:type="continuationSeparator" w:id="0">
    <w:p w14:paraId="3FFE55D1" w14:textId="77777777" w:rsidR="00547708" w:rsidRDefault="0054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E2F403" w14:textId="77777777" w:rsidR="00547708" w:rsidRDefault="00547708">
      <w:r>
        <w:separator/>
      </w:r>
    </w:p>
  </w:footnote>
  <w:footnote w:type="continuationSeparator" w:id="0">
    <w:p w14:paraId="5FFCA1AC" w14:textId="77777777" w:rsidR="00547708" w:rsidRDefault="00547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DA23" w14:textId="2240EA04" w:rsidR="00A02600" w:rsidRDefault="00714CEE" w:rsidP="00400EE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E0167A4" wp14:editId="1A2BE599">
          <wp:simplePos x="0" y="0"/>
          <wp:positionH relativeFrom="column">
            <wp:posOffset>2395855</wp:posOffset>
          </wp:positionH>
          <wp:positionV relativeFrom="paragraph">
            <wp:posOffset>-144145</wp:posOffset>
          </wp:positionV>
          <wp:extent cx="866775" cy="877570"/>
          <wp:effectExtent l="0" t="0" r="9525" b="0"/>
          <wp:wrapTight wrapText="bothSides">
            <wp:wrapPolygon edited="0">
              <wp:start x="0" y="0"/>
              <wp:lineTo x="0" y="21100"/>
              <wp:lineTo x="21363" y="21100"/>
              <wp:lineTo x="21363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77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C04">
      <w:rPr>
        <w:noProof/>
      </w:rPr>
      <w:drawing>
        <wp:inline distT="0" distB="0" distL="0" distR="0" wp14:anchorId="4A49682D" wp14:editId="4EC4EB9C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 w:rsidR="00AC0C04">
      <w:rPr>
        <w:noProof/>
      </w:rPr>
      <w:drawing>
        <wp:inline distT="0" distB="0" distL="0" distR="0" wp14:anchorId="7D2E5BFD" wp14:editId="73ADEFD9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E74BAE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0252E"/>
    <w:rsid w:val="0000614D"/>
    <w:rsid w:val="00006BF7"/>
    <w:rsid w:val="00020E2B"/>
    <w:rsid w:val="00025A2C"/>
    <w:rsid w:val="000265B5"/>
    <w:rsid w:val="00026BAF"/>
    <w:rsid w:val="00043711"/>
    <w:rsid w:val="00045BA2"/>
    <w:rsid w:val="00050E46"/>
    <w:rsid w:val="00061801"/>
    <w:rsid w:val="0006257B"/>
    <w:rsid w:val="00063F6C"/>
    <w:rsid w:val="00064964"/>
    <w:rsid w:val="00065C7B"/>
    <w:rsid w:val="000664F2"/>
    <w:rsid w:val="00067342"/>
    <w:rsid w:val="00070BCB"/>
    <w:rsid w:val="00072851"/>
    <w:rsid w:val="000755EF"/>
    <w:rsid w:val="00076C21"/>
    <w:rsid w:val="000A036F"/>
    <w:rsid w:val="000A04FF"/>
    <w:rsid w:val="000A16CA"/>
    <w:rsid w:val="000A6078"/>
    <w:rsid w:val="000A66D6"/>
    <w:rsid w:val="000B0D17"/>
    <w:rsid w:val="000B174F"/>
    <w:rsid w:val="000B262A"/>
    <w:rsid w:val="000B6159"/>
    <w:rsid w:val="000D29CB"/>
    <w:rsid w:val="000D7116"/>
    <w:rsid w:val="000E4FD1"/>
    <w:rsid w:val="000E6050"/>
    <w:rsid w:val="00100BF9"/>
    <w:rsid w:val="0011011B"/>
    <w:rsid w:val="00132E1F"/>
    <w:rsid w:val="00142827"/>
    <w:rsid w:val="00142C3C"/>
    <w:rsid w:val="0016217F"/>
    <w:rsid w:val="00163274"/>
    <w:rsid w:val="00164EAD"/>
    <w:rsid w:val="00167E65"/>
    <w:rsid w:val="001732CB"/>
    <w:rsid w:val="0017359D"/>
    <w:rsid w:val="00185DAD"/>
    <w:rsid w:val="00186C0C"/>
    <w:rsid w:val="001948A6"/>
    <w:rsid w:val="001952E8"/>
    <w:rsid w:val="00195CCE"/>
    <w:rsid w:val="00195D8A"/>
    <w:rsid w:val="00195EC5"/>
    <w:rsid w:val="00196916"/>
    <w:rsid w:val="001A4A4B"/>
    <w:rsid w:val="001A61E6"/>
    <w:rsid w:val="001B05BC"/>
    <w:rsid w:val="001B11B2"/>
    <w:rsid w:val="001B26B6"/>
    <w:rsid w:val="001C50B6"/>
    <w:rsid w:val="001D11D0"/>
    <w:rsid w:val="001E2818"/>
    <w:rsid w:val="001E2FBB"/>
    <w:rsid w:val="001F1073"/>
    <w:rsid w:val="001F70BE"/>
    <w:rsid w:val="00201A62"/>
    <w:rsid w:val="00206E32"/>
    <w:rsid w:val="002144C7"/>
    <w:rsid w:val="002150DC"/>
    <w:rsid w:val="00216A4D"/>
    <w:rsid w:val="00217757"/>
    <w:rsid w:val="002231D5"/>
    <w:rsid w:val="002235D6"/>
    <w:rsid w:val="00223FB0"/>
    <w:rsid w:val="00224CB9"/>
    <w:rsid w:val="00226AF3"/>
    <w:rsid w:val="002274D3"/>
    <w:rsid w:val="00243ADE"/>
    <w:rsid w:val="00246060"/>
    <w:rsid w:val="002465A9"/>
    <w:rsid w:val="00247395"/>
    <w:rsid w:val="002474EC"/>
    <w:rsid w:val="00251614"/>
    <w:rsid w:val="002526D2"/>
    <w:rsid w:val="002555F7"/>
    <w:rsid w:val="00274B97"/>
    <w:rsid w:val="00275A58"/>
    <w:rsid w:val="002855D6"/>
    <w:rsid w:val="002856AE"/>
    <w:rsid w:val="0029444B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6B0"/>
    <w:rsid w:val="002E713C"/>
    <w:rsid w:val="002E72A0"/>
    <w:rsid w:val="002E7560"/>
    <w:rsid w:val="002F1D66"/>
    <w:rsid w:val="002F4540"/>
    <w:rsid w:val="00305315"/>
    <w:rsid w:val="00305D37"/>
    <w:rsid w:val="00311F18"/>
    <w:rsid w:val="00314645"/>
    <w:rsid w:val="0032108D"/>
    <w:rsid w:val="00326583"/>
    <w:rsid w:val="0032776C"/>
    <w:rsid w:val="00332C31"/>
    <w:rsid w:val="00333788"/>
    <w:rsid w:val="00344392"/>
    <w:rsid w:val="00345A2C"/>
    <w:rsid w:val="0034685E"/>
    <w:rsid w:val="00347162"/>
    <w:rsid w:val="003512AA"/>
    <w:rsid w:val="003562FA"/>
    <w:rsid w:val="00362BA4"/>
    <w:rsid w:val="003657AA"/>
    <w:rsid w:val="003713FF"/>
    <w:rsid w:val="003726B9"/>
    <w:rsid w:val="00374558"/>
    <w:rsid w:val="003760E8"/>
    <w:rsid w:val="00377388"/>
    <w:rsid w:val="00380A95"/>
    <w:rsid w:val="003868CD"/>
    <w:rsid w:val="003922ED"/>
    <w:rsid w:val="003A16B7"/>
    <w:rsid w:val="003A407E"/>
    <w:rsid w:val="003A50A5"/>
    <w:rsid w:val="003B096C"/>
    <w:rsid w:val="003B6E1C"/>
    <w:rsid w:val="003C0897"/>
    <w:rsid w:val="003C44BF"/>
    <w:rsid w:val="003C4B0A"/>
    <w:rsid w:val="003D11DD"/>
    <w:rsid w:val="003D1BD3"/>
    <w:rsid w:val="003D468A"/>
    <w:rsid w:val="003E04C2"/>
    <w:rsid w:val="003E4519"/>
    <w:rsid w:val="003E4C42"/>
    <w:rsid w:val="003E5015"/>
    <w:rsid w:val="003E6F33"/>
    <w:rsid w:val="003F12D8"/>
    <w:rsid w:val="003F1CE5"/>
    <w:rsid w:val="003F2678"/>
    <w:rsid w:val="003F3190"/>
    <w:rsid w:val="00400EEE"/>
    <w:rsid w:val="004019D0"/>
    <w:rsid w:val="004040B1"/>
    <w:rsid w:val="00405895"/>
    <w:rsid w:val="00421054"/>
    <w:rsid w:val="00422CE3"/>
    <w:rsid w:val="00425564"/>
    <w:rsid w:val="00427116"/>
    <w:rsid w:val="00440EBC"/>
    <w:rsid w:val="00443F05"/>
    <w:rsid w:val="004457B0"/>
    <w:rsid w:val="00457B67"/>
    <w:rsid w:val="00462DD6"/>
    <w:rsid w:val="00462F12"/>
    <w:rsid w:val="004648B4"/>
    <w:rsid w:val="0046629A"/>
    <w:rsid w:val="00466D1C"/>
    <w:rsid w:val="00470C1A"/>
    <w:rsid w:val="00472ACE"/>
    <w:rsid w:val="0048007C"/>
    <w:rsid w:val="00486386"/>
    <w:rsid w:val="00491D0A"/>
    <w:rsid w:val="004932F2"/>
    <w:rsid w:val="004A6E11"/>
    <w:rsid w:val="004A7BA9"/>
    <w:rsid w:val="004B61C5"/>
    <w:rsid w:val="004B72A7"/>
    <w:rsid w:val="004C1EA4"/>
    <w:rsid w:val="004C292C"/>
    <w:rsid w:val="004C498E"/>
    <w:rsid w:val="004C73E8"/>
    <w:rsid w:val="004D501A"/>
    <w:rsid w:val="004D5A5E"/>
    <w:rsid w:val="004E2F4D"/>
    <w:rsid w:val="004E369F"/>
    <w:rsid w:val="004E4254"/>
    <w:rsid w:val="004E6BA3"/>
    <w:rsid w:val="004E718E"/>
    <w:rsid w:val="004E781F"/>
    <w:rsid w:val="004F20C8"/>
    <w:rsid w:val="0050083A"/>
    <w:rsid w:val="00502905"/>
    <w:rsid w:val="00504868"/>
    <w:rsid w:val="0051304F"/>
    <w:rsid w:val="00516B3F"/>
    <w:rsid w:val="005201BD"/>
    <w:rsid w:val="00520480"/>
    <w:rsid w:val="00520487"/>
    <w:rsid w:val="005214E7"/>
    <w:rsid w:val="00531972"/>
    <w:rsid w:val="00540690"/>
    <w:rsid w:val="00547708"/>
    <w:rsid w:val="00550547"/>
    <w:rsid w:val="00553893"/>
    <w:rsid w:val="00562CEB"/>
    <w:rsid w:val="005670CE"/>
    <w:rsid w:val="0056726D"/>
    <w:rsid w:val="00571058"/>
    <w:rsid w:val="00573DC1"/>
    <w:rsid w:val="00573F27"/>
    <w:rsid w:val="00580D92"/>
    <w:rsid w:val="005822C1"/>
    <w:rsid w:val="005840BE"/>
    <w:rsid w:val="005871F6"/>
    <w:rsid w:val="00592532"/>
    <w:rsid w:val="00597F18"/>
    <w:rsid w:val="005A1EDB"/>
    <w:rsid w:val="005A259D"/>
    <w:rsid w:val="005A4B7D"/>
    <w:rsid w:val="005A53F7"/>
    <w:rsid w:val="005B17CF"/>
    <w:rsid w:val="005C376A"/>
    <w:rsid w:val="005D17DA"/>
    <w:rsid w:val="005D2252"/>
    <w:rsid w:val="005D3897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74D3"/>
    <w:rsid w:val="00633228"/>
    <w:rsid w:val="006349B0"/>
    <w:rsid w:val="0063527C"/>
    <w:rsid w:val="0064004F"/>
    <w:rsid w:val="006414CE"/>
    <w:rsid w:val="006442C9"/>
    <w:rsid w:val="006511F9"/>
    <w:rsid w:val="00653197"/>
    <w:rsid w:val="00655014"/>
    <w:rsid w:val="00663B24"/>
    <w:rsid w:val="00664926"/>
    <w:rsid w:val="0067209E"/>
    <w:rsid w:val="00674DA8"/>
    <w:rsid w:val="00675714"/>
    <w:rsid w:val="00685C9D"/>
    <w:rsid w:val="00685E1D"/>
    <w:rsid w:val="00687D07"/>
    <w:rsid w:val="0069028D"/>
    <w:rsid w:val="006968BA"/>
    <w:rsid w:val="00696A93"/>
    <w:rsid w:val="006A0692"/>
    <w:rsid w:val="006A250B"/>
    <w:rsid w:val="006B71E8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48FF"/>
    <w:rsid w:val="00707018"/>
    <w:rsid w:val="007076DB"/>
    <w:rsid w:val="00714CEE"/>
    <w:rsid w:val="0071555D"/>
    <w:rsid w:val="0071596D"/>
    <w:rsid w:val="007239DD"/>
    <w:rsid w:val="00723C07"/>
    <w:rsid w:val="00736F5C"/>
    <w:rsid w:val="0074082A"/>
    <w:rsid w:val="00742EA8"/>
    <w:rsid w:val="00744AC7"/>
    <w:rsid w:val="0074501B"/>
    <w:rsid w:val="007507A6"/>
    <w:rsid w:val="00755CCE"/>
    <w:rsid w:val="007569B1"/>
    <w:rsid w:val="007607A3"/>
    <w:rsid w:val="00772624"/>
    <w:rsid w:val="00777729"/>
    <w:rsid w:val="0078100E"/>
    <w:rsid w:val="007827F8"/>
    <w:rsid w:val="0079087D"/>
    <w:rsid w:val="00790CA4"/>
    <w:rsid w:val="007A4FDB"/>
    <w:rsid w:val="007A78B2"/>
    <w:rsid w:val="007A7EE5"/>
    <w:rsid w:val="007B0341"/>
    <w:rsid w:val="007B12A7"/>
    <w:rsid w:val="007B6CA7"/>
    <w:rsid w:val="007C0FB0"/>
    <w:rsid w:val="007C397D"/>
    <w:rsid w:val="007C718A"/>
    <w:rsid w:val="007D0558"/>
    <w:rsid w:val="007E4316"/>
    <w:rsid w:val="007E6A28"/>
    <w:rsid w:val="007F1115"/>
    <w:rsid w:val="008050FA"/>
    <w:rsid w:val="00805BA3"/>
    <w:rsid w:val="00811F18"/>
    <w:rsid w:val="0082046B"/>
    <w:rsid w:val="008254AF"/>
    <w:rsid w:val="00830BCD"/>
    <w:rsid w:val="00837114"/>
    <w:rsid w:val="00837238"/>
    <w:rsid w:val="00840609"/>
    <w:rsid w:val="0084190F"/>
    <w:rsid w:val="008543A2"/>
    <w:rsid w:val="00866B77"/>
    <w:rsid w:val="00866CC8"/>
    <w:rsid w:val="00871E8C"/>
    <w:rsid w:val="00880AF8"/>
    <w:rsid w:val="0088291F"/>
    <w:rsid w:val="00890A4A"/>
    <w:rsid w:val="00892E6B"/>
    <w:rsid w:val="008969E5"/>
    <w:rsid w:val="00897AD2"/>
    <w:rsid w:val="008B2F5E"/>
    <w:rsid w:val="008B50E4"/>
    <w:rsid w:val="008B67BF"/>
    <w:rsid w:val="008B6BFE"/>
    <w:rsid w:val="008C0DFE"/>
    <w:rsid w:val="008C11ED"/>
    <w:rsid w:val="008D3007"/>
    <w:rsid w:val="008D478E"/>
    <w:rsid w:val="008E3721"/>
    <w:rsid w:val="008E3957"/>
    <w:rsid w:val="008E4671"/>
    <w:rsid w:val="008F33D8"/>
    <w:rsid w:val="008F75C4"/>
    <w:rsid w:val="008F7E97"/>
    <w:rsid w:val="00900FAF"/>
    <w:rsid w:val="009018B0"/>
    <w:rsid w:val="00911A94"/>
    <w:rsid w:val="0092280F"/>
    <w:rsid w:val="009263AC"/>
    <w:rsid w:val="00934BB5"/>
    <w:rsid w:val="009407D9"/>
    <w:rsid w:val="00940BE5"/>
    <w:rsid w:val="00942BD0"/>
    <w:rsid w:val="00942F54"/>
    <w:rsid w:val="00951CE5"/>
    <w:rsid w:val="00961E6D"/>
    <w:rsid w:val="009670D5"/>
    <w:rsid w:val="009678C2"/>
    <w:rsid w:val="00972125"/>
    <w:rsid w:val="00974737"/>
    <w:rsid w:val="009856E1"/>
    <w:rsid w:val="009A541C"/>
    <w:rsid w:val="009A58A8"/>
    <w:rsid w:val="009A5990"/>
    <w:rsid w:val="009B59B3"/>
    <w:rsid w:val="009C0999"/>
    <w:rsid w:val="009C15E5"/>
    <w:rsid w:val="009C403B"/>
    <w:rsid w:val="009D35A5"/>
    <w:rsid w:val="009D40FC"/>
    <w:rsid w:val="009D42CA"/>
    <w:rsid w:val="009D4A7C"/>
    <w:rsid w:val="009E092A"/>
    <w:rsid w:val="009E473F"/>
    <w:rsid w:val="009E6F88"/>
    <w:rsid w:val="009F4395"/>
    <w:rsid w:val="009F606D"/>
    <w:rsid w:val="00A000EC"/>
    <w:rsid w:val="00A00800"/>
    <w:rsid w:val="00A02600"/>
    <w:rsid w:val="00A047A4"/>
    <w:rsid w:val="00A13E17"/>
    <w:rsid w:val="00A13EE9"/>
    <w:rsid w:val="00A22B4D"/>
    <w:rsid w:val="00A26833"/>
    <w:rsid w:val="00A26BCB"/>
    <w:rsid w:val="00A32B0D"/>
    <w:rsid w:val="00A338DF"/>
    <w:rsid w:val="00A35C53"/>
    <w:rsid w:val="00A40069"/>
    <w:rsid w:val="00A4145C"/>
    <w:rsid w:val="00A4313A"/>
    <w:rsid w:val="00A446F9"/>
    <w:rsid w:val="00A468A1"/>
    <w:rsid w:val="00A47539"/>
    <w:rsid w:val="00A54827"/>
    <w:rsid w:val="00A55BB9"/>
    <w:rsid w:val="00A5778C"/>
    <w:rsid w:val="00A6181E"/>
    <w:rsid w:val="00A710AC"/>
    <w:rsid w:val="00A75CEE"/>
    <w:rsid w:val="00A80403"/>
    <w:rsid w:val="00A80710"/>
    <w:rsid w:val="00A86E4E"/>
    <w:rsid w:val="00A94FBE"/>
    <w:rsid w:val="00A9713A"/>
    <w:rsid w:val="00AB051B"/>
    <w:rsid w:val="00AB2B69"/>
    <w:rsid w:val="00AC0C04"/>
    <w:rsid w:val="00AC6332"/>
    <w:rsid w:val="00AE052A"/>
    <w:rsid w:val="00AE6BCB"/>
    <w:rsid w:val="00AF3BF7"/>
    <w:rsid w:val="00B05FC9"/>
    <w:rsid w:val="00B10FF0"/>
    <w:rsid w:val="00B167EB"/>
    <w:rsid w:val="00B17BED"/>
    <w:rsid w:val="00B217A6"/>
    <w:rsid w:val="00B436D4"/>
    <w:rsid w:val="00B535A6"/>
    <w:rsid w:val="00B5414D"/>
    <w:rsid w:val="00B63933"/>
    <w:rsid w:val="00B67E3C"/>
    <w:rsid w:val="00B72063"/>
    <w:rsid w:val="00B72675"/>
    <w:rsid w:val="00B80A4B"/>
    <w:rsid w:val="00B8654E"/>
    <w:rsid w:val="00B91F14"/>
    <w:rsid w:val="00BA3DFE"/>
    <w:rsid w:val="00BA576F"/>
    <w:rsid w:val="00BB5406"/>
    <w:rsid w:val="00BB7255"/>
    <w:rsid w:val="00BC428C"/>
    <w:rsid w:val="00BE3518"/>
    <w:rsid w:val="00BE74D9"/>
    <w:rsid w:val="00BE7CFA"/>
    <w:rsid w:val="00BF1F63"/>
    <w:rsid w:val="00BF33E4"/>
    <w:rsid w:val="00BF4882"/>
    <w:rsid w:val="00C051E4"/>
    <w:rsid w:val="00C11B9B"/>
    <w:rsid w:val="00C11FDE"/>
    <w:rsid w:val="00C22359"/>
    <w:rsid w:val="00C26935"/>
    <w:rsid w:val="00C43320"/>
    <w:rsid w:val="00C442E8"/>
    <w:rsid w:val="00C56893"/>
    <w:rsid w:val="00C62D19"/>
    <w:rsid w:val="00C66DDC"/>
    <w:rsid w:val="00C84D7C"/>
    <w:rsid w:val="00C86BBB"/>
    <w:rsid w:val="00C96CD3"/>
    <w:rsid w:val="00CA7EBA"/>
    <w:rsid w:val="00CB3205"/>
    <w:rsid w:val="00CC44EE"/>
    <w:rsid w:val="00CE1D7D"/>
    <w:rsid w:val="00CE47A1"/>
    <w:rsid w:val="00CE4D90"/>
    <w:rsid w:val="00CE6D6B"/>
    <w:rsid w:val="00D017D5"/>
    <w:rsid w:val="00D0243C"/>
    <w:rsid w:val="00D053EE"/>
    <w:rsid w:val="00D10373"/>
    <w:rsid w:val="00D17E14"/>
    <w:rsid w:val="00D23398"/>
    <w:rsid w:val="00D24B61"/>
    <w:rsid w:val="00D30E86"/>
    <w:rsid w:val="00D33EA4"/>
    <w:rsid w:val="00D37812"/>
    <w:rsid w:val="00D43807"/>
    <w:rsid w:val="00D7467A"/>
    <w:rsid w:val="00D77570"/>
    <w:rsid w:val="00D82071"/>
    <w:rsid w:val="00D8403E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47EF3"/>
    <w:rsid w:val="00E515C1"/>
    <w:rsid w:val="00E5483E"/>
    <w:rsid w:val="00E64564"/>
    <w:rsid w:val="00E705B5"/>
    <w:rsid w:val="00E8449C"/>
    <w:rsid w:val="00E84E35"/>
    <w:rsid w:val="00E924FF"/>
    <w:rsid w:val="00E92B22"/>
    <w:rsid w:val="00E96369"/>
    <w:rsid w:val="00EA4AD7"/>
    <w:rsid w:val="00EB0FD9"/>
    <w:rsid w:val="00EB10B3"/>
    <w:rsid w:val="00EB2DF8"/>
    <w:rsid w:val="00EB41A7"/>
    <w:rsid w:val="00EB6708"/>
    <w:rsid w:val="00EB73DC"/>
    <w:rsid w:val="00ED5D00"/>
    <w:rsid w:val="00ED6388"/>
    <w:rsid w:val="00EE46AC"/>
    <w:rsid w:val="00EE4ADF"/>
    <w:rsid w:val="00EF178B"/>
    <w:rsid w:val="00EF46BE"/>
    <w:rsid w:val="00EF5C97"/>
    <w:rsid w:val="00EF62A4"/>
    <w:rsid w:val="00F05304"/>
    <w:rsid w:val="00F11103"/>
    <w:rsid w:val="00F12BD9"/>
    <w:rsid w:val="00F141B3"/>
    <w:rsid w:val="00F22149"/>
    <w:rsid w:val="00F37E29"/>
    <w:rsid w:val="00F40316"/>
    <w:rsid w:val="00F43BE0"/>
    <w:rsid w:val="00F512E7"/>
    <w:rsid w:val="00F51681"/>
    <w:rsid w:val="00F618C0"/>
    <w:rsid w:val="00F70A04"/>
    <w:rsid w:val="00F70AB3"/>
    <w:rsid w:val="00F753BF"/>
    <w:rsid w:val="00F837DD"/>
    <w:rsid w:val="00F97752"/>
    <w:rsid w:val="00FA0E97"/>
    <w:rsid w:val="00FA6C49"/>
    <w:rsid w:val="00FA7D9A"/>
    <w:rsid w:val="00FB3857"/>
    <w:rsid w:val="00FB3D8A"/>
    <w:rsid w:val="00FB569E"/>
    <w:rsid w:val="00FB775E"/>
    <w:rsid w:val="00FD2DC4"/>
    <w:rsid w:val="00FD54DA"/>
    <w:rsid w:val="00FE02DE"/>
    <w:rsid w:val="00FE2C8A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53ED29"/>
  <w15:docId w15:val="{AC6254FD-25D9-44F4-893A-F02B2F0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CE47A1"/>
    <w:rPr>
      <w:color w:val="605E5C"/>
      <w:shd w:val="clear" w:color="auto" w:fill="E1DFDD"/>
    </w:rPr>
  </w:style>
  <w:style w:type="character" w:customStyle="1" w:styleId="tlid-translation">
    <w:name w:val="tlid-translation"/>
    <w:rsid w:val="0074082A"/>
  </w:style>
  <w:style w:type="character" w:styleId="Nevyeenzmnka">
    <w:name w:val="Unresolved Mention"/>
    <w:basedOn w:val="Standardnpsmoodstavce"/>
    <w:uiPriority w:val="99"/>
    <w:semiHidden/>
    <w:unhideWhenUsed/>
    <w:rsid w:val="00206E32"/>
    <w:rPr>
      <w:color w:val="605E5C"/>
      <w:shd w:val="clear" w:color="auto" w:fill="E1DFDD"/>
    </w:rPr>
  </w:style>
  <w:style w:type="table" w:styleId="Mkatabulky">
    <w:name w:val="Table Grid"/>
    <w:basedOn w:val="Normlntabulka"/>
    <w:rsid w:val="00F1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ncoursmondia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.bazant@omnimedia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vel.krska@vinarskecentru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748C3AC2D0CC49955FA67F527D48B3" ma:contentTypeVersion="2" ma:contentTypeDescription="Vytvoří nový dokument" ma:contentTypeScope="" ma:versionID="571f3e6699b9b4390b234c37db938d89">
  <xsd:schema xmlns:xsd="http://www.w3.org/2001/XMLSchema" xmlns:xs="http://www.w3.org/2001/XMLSchema" xmlns:p="http://schemas.microsoft.com/office/2006/metadata/properties" xmlns:ns3="8ce25344-464d-49b3-a225-e7dcf807973b" targetNamespace="http://schemas.microsoft.com/office/2006/metadata/properties" ma:root="true" ma:fieldsID="1e0687d710c082d8714a0ce330224033" ns3:_="">
    <xsd:import namespace="8ce25344-464d-49b3-a225-e7dcf807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5344-464d-49b3-a225-e7dcf8079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FA64-FE9A-4CA8-B776-18AC552B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EB378F-6075-41C5-8792-446BAD0B2E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EADAF-E9EA-4D7F-9C19-6F7902D9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25344-464d-49b3-a225-e7dcf807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F388C-B404-45E1-8366-9DA7A7AF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5947</CharactersWithSpaces>
  <SharedDoc>false</SharedDoc>
  <HLinks>
    <vt:vector size="18" baseType="variant">
      <vt:variant>
        <vt:i4>5177369</vt:i4>
      </vt:variant>
      <vt:variant>
        <vt:i4>6</vt:i4>
      </vt:variant>
      <vt:variant>
        <vt:i4>0</vt:i4>
      </vt:variant>
      <vt:variant>
        <vt:i4>5</vt:i4>
      </vt:variant>
      <vt:variant>
        <vt:lpwstr>https://www.cmb-brno2020.cz/cs/o-soutezi/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0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23</cp:revision>
  <cp:lastPrinted>2016-01-05T09:48:00Z</cp:lastPrinted>
  <dcterms:created xsi:type="dcterms:W3CDTF">2020-09-14T10:48:00Z</dcterms:created>
  <dcterms:modified xsi:type="dcterms:W3CDTF">2021-07-08T06:31:00Z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0x010100A8748C3AC2D0CC49955FA67F527D48B3</vt:lpwstr>
  </property>
</Properties>
</file>