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67CEC660" w14:textId="77777777" w:rsidR="008E4C41" w:rsidRDefault="008E4C41" w:rsidP="00A8062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V Londýně získala moravská a česká vína </w:t>
      </w:r>
    </w:p>
    <w:p w14:paraId="5D565B89" w14:textId="29B46726" w:rsidR="00A80620" w:rsidRPr="00EF5C6F" w:rsidRDefault="008E4C41" w:rsidP="008E4C41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neuvěřitelných 121 medailí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10A22059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D861FB">
        <w:rPr>
          <w:rFonts w:ascii="Calibri" w:hAnsi="Calibri" w:cs="Calibri"/>
          <w:i/>
        </w:rPr>
        <w:t>9</w:t>
      </w:r>
      <w:r w:rsidRPr="008E4AC6">
        <w:rPr>
          <w:rFonts w:ascii="Calibri" w:hAnsi="Calibri" w:cs="Calibri"/>
          <w:i/>
        </w:rPr>
        <w:t xml:space="preserve">. </w:t>
      </w:r>
      <w:r w:rsidR="00031F46">
        <w:rPr>
          <w:rFonts w:ascii="Calibri" w:hAnsi="Calibri" w:cs="Calibri"/>
          <w:i/>
        </w:rPr>
        <w:t>červ</w:t>
      </w:r>
      <w:r w:rsidR="00D861FB">
        <w:rPr>
          <w:rFonts w:ascii="Calibri" w:hAnsi="Calibri" w:cs="Calibri"/>
          <w:i/>
        </w:rPr>
        <w:t>na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D861FB">
        <w:rPr>
          <w:rFonts w:ascii="Calibri" w:hAnsi="Calibri" w:cs="Calibri"/>
          <w:i/>
        </w:rPr>
        <w:t>2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46B1F458" w14:textId="25402F23" w:rsidR="00A80620" w:rsidRPr="008E4AC6" w:rsidRDefault="00632E95" w:rsidP="00A806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FB1219">
        <w:rPr>
          <w:rFonts w:ascii="Calibri" w:hAnsi="Calibri" w:cs="Calibri"/>
          <w:b/>
        </w:rPr>
        <w:t xml:space="preserve">alší </w:t>
      </w:r>
      <w:r w:rsidR="009C6295">
        <w:rPr>
          <w:rFonts w:ascii="Calibri" w:hAnsi="Calibri" w:cs="Calibri"/>
          <w:b/>
        </w:rPr>
        <w:t xml:space="preserve">ze seriálu prestižních </w:t>
      </w:r>
      <w:r w:rsidR="00944E75">
        <w:rPr>
          <w:rFonts w:ascii="Calibri" w:hAnsi="Calibri" w:cs="Calibri"/>
          <w:b/>
        </w:rPr>
        <w:t>mezinárodních</w:t>
      </w:r>
      <w:r w:rsidR="009C6295">
        <w:rPr>
          <w:rFonts w:ascii="Calibri" w:hAnsi="Calibri" w:cs="Calibri"/>
          <w:b/>
        </w:rPr>
        <w:t xml:space="preserve"> soutěží vín představila letošní vítěze. Pro </w:t>
      </w:r>
      <w:r>
        <w:rPr>
          <w:rFonts w:ascii="Calibri" w:hAnsi="Calibri" w:cs="Calibri"/>
          <w:b/>
        </w:rPr>
        <w:t xml:space="preserve">moravská a česká vína </w:t>
      </w:r>
      <w:r w:rsidR="009C6295">
        <w:rPr>
          <w:rFonts w:ascii="Calibri" w:hAnsi="Calibri" w:cs="Calibri"/>
          <w:b/>
        </w:rPr>
        <w:t xml:space="preserve">šlo o </w:t>
      </w:r>
      <w:r>
        <w:rPr>
          <w:rFonts w:ascii="Calibri" w:hAnsi="Calibri" w:cs="Calibri"/>
          <w:b/>
        </w:rPr>
        <w:t>skutečnou medailovou žeň</w:t>
      </w:r>
      <w:r w:rsidR="00944E75">
        <w:rPr>
          <w:rFonts w:ascii="Calibri" w:hAnsi="Calibri" w:cs="Calibri"/>
          <w:b/>
        </w:rPr>
        <w:t xml:space="preserve">, přestože byl letos do soutěže přihlášen rekordní počet vín z celého světa. </w:t>
      </w:r>
      <w:r>
        <w:rPr>
          <w:rFonts w:ascii="Calibri" w:hAnsi="Calibri" w:cs="Calibri"/>
          <w:b/>
        </w:rPr>
        <w:t>Z</w:t>
      </w:r>
      <w:r w:rsidR="00FB1219">
        <w:rPr>
          <w:rFonts w:ascii="Calibri" w:hAnsi="Calibri" w:cs="Calibri"/>
          <w:b/>
        </w:rPr>
        <w:t xml:space="preserve"> 1</w:t>
      </w:r>
      <w:r>
        <w:rPr>
          <w:rFonts w:ascii="Calibri" w:hAnsi="Calibri" w:cs="Calibri"/>
          <w:b/>
        </w:rPr>
        <w:t>9</w:t>
      </w:r>
      <w:r w:rsidR="00FB1219">
        <w:rPr>
          <w:rFonts w:ascii="Calibri" w:hAnsi="Calibri" w:cs="Calibri"/>
          <w:b/>
        </w:rPr>
        <w:t>. ročníku</w:t>
      </w:r>
      <w:r w:rsidR="007C3D87">
        <w:rPr>
          <w:rFonts w:ascii="Calibri" w:hAnsi="Calibri" w:cs="Calibri"/>
          <w:b/>
        </w:rPr>
        <w:t xml:space="preserve"> </w:t>
      </w:r>
      <w:r w:rsidR="00FB1219" w:rsidRPr="00FB1219">
        <w:rPr>
          <w:rFonts w:ascii="Calibri" w:hAnsi="Calibri" w:cs="Calibri"/>
          <w:b/>
        </w:rPr>
        <w:t>Decanter World Wine Awards</w:t>
      </w:r>
      <w:r w:rsidR="009C6295">
        <w:rPr>
          <w:rFonts w:ascii="Calibri" w:hAnsi="Calibri" w:cs="Calibri"/>
          <w:b/>
        </w:rPr>
        <w:t>, konané tradičně v Londýně,</w:t>
      </w:r>
      <w:r w:rsidR="00FB1219">
        <w:rPr>
          <w:rFonts w:ascii="Calibri" w:hAnsi="Calibri" w:cs="Calibri"/>
          <w:b/>
        </w:rPr>
        <w:t xml:space="preserve"> si přivážejí </w:t>
      </w:r>
      <w:r>
        <w:rPr>
          <w:rFonts w:ascii="Calibri" w:hAnsi="Calibri" w:cs="Calibri"/>
          <w:b/>
        </w:rPr>
        <w:t>úctyhodných 121</w:t>
      </w:r>
      <w:r w:rsidR="00FB1219">
        <w:rPr>
          <w:rFonts w:ascii="Calibri" w:hAnsi="Calibri" w:cs="Calibri"/>
          <w:b/>
        </w:rPr>
        <w:t xml:space="preserve"> medailí</w:t>
      </w:r>
      <w:r w:rsidR="002C1637">
        <w:rPr>
          <w:rFonts w:ascii="Calibri" w:hAnsi="Calibri" w:cs="Calibri"/>
          <w:b/>
          <w:bCs/>
        </w:rPr>
        <w:t xml:space="preserve">. </w:t>
      </w:r>
      <w:r w:rsidR="00A80620" w:rsidRPr="008E4AC6">
        <w:rPr>
          <w:rFonts w:ascii="Calibri" w:hAnsi="Calibri" w:cs="Calibri"/>
          <w:b/>
        </w:rPr>
        <w:t xml:space="preserve">Účast našich vinařů proběhla za finanční podpory Vinařského fondu a organizačního zajištění Národního vinařského centra. </w:t>
      </w:r>
    </w:p>
    <w:p w14:paraId="33F7A50B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3599AEAD" w14:textId="2643130E" w:rsidR="00837135" w:rsidRDefault="00E87B3F" w:rsidP="00A8062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 celkového počtu </w:t>
      </w:r>
      <w:r w:rsidR="00837135">
        <w:rPr>
          <w:rFonts w:ascii="Calibri" w:hAnsi="Calibri" w:cs="Calibri"/>
          <w:bCs/>
        </w:rPr>
        <w:t>121</w:t>
      </w:r>
      <w:r>
        <w:rPr>
          <w:rFonts w:ascii="Calibri" w:hAnsi="Calibri" w:cs="Calibri"/>
          <w:bCs/>
        </w:rPr>
        <w:t xml:space="preserve"> medailí získali moravští a čeští vinaři </w:t>
      </w:r>
      <w:r w:rsidR="00837135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zlat</w:t>
      </w:r>
      <w:r w:rsidR="00837135">
        <w:rPr>
          <w:rFonts w:ascii="Calibri" w:hAnsi="Calibri" w:cs="Calibri"/>
          <w:bCs/>
        </w:rPr>
        <w:t>é</w:t>
      </w:r>
      <w:r>
        <w:rPr>
          <w:rFonts w:ascii="Calibri" w:hAnsi="Calibri" w:cs="Calibri"/>
          <w:bCs/>
        </w:rPr>
        <w:t>, 3</w:t>
      </w:r>
      <w:r w:rsidR="00837135">
        <w:rPr>
          <w:rFonts w:ascii="Calibri" w:hAnsi="Calibri" w:cs="Calibri"/>
          <w:bCs/>
        </w:rPr>
        <w:t>7</w:t>
      </w:r>
      <w:r>
        <w:rPr>
          <w:rFonts w:ascii="Calibri" w:hAnsi="Calibri" w:cs="Calibri"/>
          <w:bCs/>
        </w:rPr>
        <w:t xml:space="preserve"> stříbrných a </w:t>
      </w:r>
      <w:r w:rsidR="00837135">
        <w:rPr>
          <w:rFonts w:ascii="Calibri" w:hAnsi="Calibri" w:cs="Calibri"/>
          <w:bCs/>
        </w:rPr>
        <w:t>81</w:t>
      </w:r>
      <w:r>
        <w:rPr>
          <w:rFonts w:ascii="Calibri" w:hAnsi="Calibri" w:cs="Calibri"/>
          <w:bCs/>
        </w:rPr>
        <w:t xml:space="preserve"> bronzových medailí. </w:t>
      </w:r>
      <w:r w:rsidR="00837135">
        <w:rPr>
          <w:rFonts w:ascii="Calibri" w:hAnsi="Calibri" w:cs="Calibri"/>
          <w:bCs/>
        </w:rPr>
        <w:t xml:space="preserve">Zlatou medaili si připsalo na mezinárodních soutěžích vín </w:t>
      </w:r>
      <w:r w:rsidR="009C6295">
        <w:rPr>
          <w:rFonts w:ascii="Calibri" w:hAnsi="Calibri" w:cs="Calibri"/>
          <w:bCs/>
        </w:rPr>
        <w:t>letos ve světě velmi úspěšné</w:t>
      </w:r>
      <w:r w:rsidR="00837135">
        <w:rPr>
          <w:rFonts w:ascii="Calibri" w:hAnsi="Calibri" w:cs="Calibri"/>
          <w:bCs/>
        </w:rPr>
        <w:t xml:space="preserve"> </w:t>
      </w:r>
      <w:r w:rsidR="00837135" w:rsidRPr="00837135">
        <w:rPr>
          <w:rFonts w:ascii="Calibri" w:hAnsi="Calibri" w:cs="Calibri"/>
          <w:bCs/>
        </w:rPr>
        <w:t>B\V vinařství z jihomoravských Ratíškovic</w:t>
      </w:r>
      <w:r w:rsidR="00837135">
        <w:rPr>
          <w:rFonts w:ascii="Calibri" w:hAnsi="Calibri" w:cs="Calibri"/>
          <w:bCs/>
        </w:rPr>
        <w:t>, které navíc přidalo 1</w:t>
      </w:r>
      <w:r w:rsidR="00802054">
        <w:rPr>
          <w:rFonts w:ascii="Calibri" w:hAnsi="Calibri" w:cs="Calibri"/>
          <w:bCs/>
        </w:rPr>
        <w:t>3</w:t>
      </w:r>
      <w:r w:rsidR="00837135">
        <w:rPr>
          <w:rFonts w:ascii="Calibri" w:hAnsi="Calibri" w:cs="Calibri"/>
          <w:bCs/>
        </w:rPr>
        <w:t xml:space="preserve"> stříbrných a 2</w:t>
      </w:r>
      <w:r w:rsidR="00802054">
        <w:rPr>
          <w:rFonts w:ascii="Calibri" w:hAnsi="Calibri" w:cs="Calibri"/>
          <w:bCs/>
        </w:rPr>
        <w:t>5</w:t>
      </w:r>
      <w:r w:rsidR="00837135">
        <w:rPr>
          <w:rFonts w:ascii="Calibri" w:hAnsi="Calibri" w:cs="Calibri"/>
          <w:bCs/>
        </w:rPr>
        <w:t xml:space="preserve"> bronzových </w:t>
      </w:r>
      <w:r w:rsidR="0003616E">
        <w:rPr>
          <w:rFonts w:ascii="Calibri" w:hAnsi="Calibri" w:cs="Calibri"/>
          <w:bCs/>
        </w:rPr>
        <w:t>medailí</w:t>
      </w:r>
      <w:r w:rsidR="009C6295">
        <w:rPr>
          <w:rFonts w:ascii="Calibri" w:hAnsi="Calibri" w:cs="Calibri"/>
          <w:bCs/>
        </w:rPr>
        <w:t>,</w:t>
      </w:r>
      <w:r w:rsidR="0003616E">
        <w:rPr>
          <w:rFonts w:ascii="Calibri" w:hAnsi="Calibri" w:cs="Calibri"/>
          <w:bCs/>
        </w:rPr>
        <w:t xml:space="preserve"> </w:t>
      </w:r>
      <w:r w:rsidR="00837135">
        <w:rPr>
          <w:rFonts w:ascii="Calibri" w:hAnsi="Calibri" w:cs="Calibri"/>
          <w:bCs/>
        </w:rPr>
        <w:t>a stalo se ta</w:t>
      </w:r>
      <w:r w:rsidR="0003616E">
        <w:rPr>
          <w:rFonts w:ascii="Calibri" w:hAnsi="Calibri" w:cs="Calibri"/>
          <w:bCs/>
        </w:rPr>
        <w:t xml:space="preserve">k zároveň </w:t>
      </w:r>
      <w:r w:rsidR="00837135">
        <w:rPr>
          <w:rFonts w:ascii="Calibri" w:hAnsi="Calibri" w:cs="Calibri"/>
          <w:bCs/>
        </w:rPr>
        <w:t xml:space="preserve">nejúspěšnějším </w:t>
      </w:r>
      <w:r w:rsidR="0003616E">
        <w:rPr>
          <w:rFonts w:ascii="Calibri" w:hAnsi="Calibri" w:cs="Calibri"/>
          <w:bCs/>
        </w:rPr>
        <w:t>zástupcem z České republiky. Druhou zlatou medaili a k tomu jednu stříbrnou obdrželo vinařství Obelisk</w:t>
      </w:r>
      <w:r w:rsidR="009C6295">
        <w:rPr>
          <w:rFonts w:ascii="Calibri" w:hAnsi="Calibri" w:cs="Calibri"/>
          <w:bCs/>
        </w:rPr>
        <w:t xml:space="preserve"> a t</w:t>
      </w:r>
      <w:r w:rsidR="0003616E">
        <w:rPr>
          <w:rFonts w:ascii="Calibri" w:hAnsi="Calibri" w:cs="Calibri"/>
          <w:bCs/>
        </w:rPr>
        <w:t>řetí zlatou pak vinařství Chateau Bzenec, které přidalo i dvě bronzové medaile.</w:t>
      </w:r>
    </w:p>
    <w:p w14:paraId="144B39EF" w14:textId="77777777" w:rsidR="00837135" w:rsidRDefault="00837135" w:rsidP="00A80620">
      <w:pPr>
        <w:jc w:val="both"/>
        <w:rPr>
          <w:rFonts w:ascii="Calibri" w:hAnsi="Calibri" w:cs="Calibri"/>
          <w:bCs/>
        </w:rPr>
      </w:pPr>
    </w:p>
    <w:p w14:paraId="4E77C922" w14:textId="5B5D0F03" w:rsidR="004A611B" w:rsidRDefault="00AC364B" w:rsidP="00A80620">
      <w:pPr>
        <w:jc w:val="both"/>
        <w:rPr>
          <w:rFonts w:ascii="Calibri" w:hAnsi="Calibri" w:cs="Calibri"/>
          <w:bCs/>
        </w:rPr>
      </w:pPr>
      <w:r w:rsidRPr="00AC364B">
        <w:rPr>
          <w:rFonts w:ascii="Calibri" w:hAnsi="Calibri" w:cs="Calibri"/>
          <w:bCs/>
          <w:i/>
          <w:iCs/>
        </w:rPr>
        <w:t>„</w:t>
      </w:r>
      <w:r w:rsidR="009C6295">
        <w:rPr>
          <w:rFonts w:ascii="Calibri" w:hAnsi="Calibri" w:cs="Calibri"/>
          <w:bCs/>
          <w:i/>
          <w:iCs/>
        </w:rPr>
        <w:t xml:space="preserve">Londýnský Decanter se vyznačuje velmi přísným hodnocením, </w:t>
      </w:r>
      <w:r w:rsidR="00B90561">
        <w:rPr>
          <w:rFonts w:ascii="Calibri" w:hAnsi="Calibri" w:cs="Calibri"/>
          <w:bCs/>
          <w:i/>
          <w:iCs/>
        </w:rPr>
        <w:t xml:space="preserve">kdy má na zlatou medaili nárok jen ve světovém srovnání zcela výjimečné víno, </w:t>
      </w:r>
      <w:r w:rsidR="00944E75">
        <w:rPr>
          <w:rFonts w:ascii="Calibri" w:hAnsi="Calibri" w:cs="Calibri"/>
          <w:bCs/>
          <w:i/>
          <w:iCs/>
        </w:rPr>
        <w:t xml:space="preserve">tedy víno, </w:t>
      </w:r>
      <w:r w:rsidR="00B90561">
        <w:rPr>
          <w:rFonts w:ascii="Calibri" w:hAnsi="Calibri" w:cs="Calibri"/>
          <w:bCs/>
          <w:i/>
          <w:iCs/>
        </w:rPr>
        <w:t>které získá 95 bodů na stobodové stupnici.  To samé jen s mírným snížením nároků platí i pro medaile stříbrné a bronzové. T</w:t>
      </w:r>
      <w:r w:rsidR="009C6295">
        <w:rPr>
          <w:rFonts w:ascii="Calibri" w:hAnsi="Calibri" w:cs="Calibri"/>
          <w:bCs/>
          <w:i/>
          <w:iCs/>
        </w:rPr>
        <w:t xml:space="preserve">akže 121 medailí ze </w:t>
      </w:r>
      <w:r w:rsidR="00492543">
        <w:rPr>
          <w:rFonts w:ascii="Calibri" w:hAnsi="Calibri" w:cs="Calibri"/>
          <w:bCs/>
          <w:i/>
          <w:iCs/>
        </w:rPr>
        <w:t xml:space="preserve">168 </w:t>
      </w:r>
      <w:r w:rsidR="009C6295">
        <w:rPr>
          <w:rFonts w:ascii="Calibri" w:hAnsi="Calibri" w:cs="Calibri"/>
          <w:bCs/>
          <w:i/>
          <w:iCs/>
        </w:rPr>
        <w:t xml:space="preserve">přihlášených moravských vín </w:t>
      </w:r>
      <w:r w:rsidR="00B90561">
        <w:rPr>
          <w:rFonts w:ascii="Calibri" w:hAnsi="Calibri" w:cs="Calibri"/>
          <w:bCs/>
          <w:i/>
          <w:iCs/>
        </w:rPr>
        <w:t>představuje</w:t>
      </w:r>
      <w:r w:rsidR="00944E75">
        <w:rPr>
          <w:rFonts w:ascii="Calibri" w:hAnsi="Calibri" w:cs="Calibri"/>
          <w:bCs/>
          <w:i/>
          <w:iCs/>
        </w:rPr>
        <w:t xml:space="preserve"> opravdu</w:t>
      </w:r>
      <w:r w:rsidR="00B90561">
        <w:rPr>
          <w:rFonts w:ascii="Calibri" w:hAnsi="Calibri" w:cs="Calibri"/>
          <w:bCs/>
          <w:i/>
          <w:iCs/>
        </w:rPr>
        <w:t xml:space="preserve"> vynikající reprezentaci celého naše</w:t>
      </w:r>
      <w:r w:rsidR="00683600">
        <w:rPr>
          <w:rFonts w:ascii="Calibri" w:hAnsi="Calibri" w:cs="Calibri"/>
          <w:bCs/>
          <w:i/>
          <w:iCs/>
        </w:rPr>
        <w:t>ho</w:t>
      </w:r>
      <w:r w:rsidR="00B90561">
        <w:rPr>
          <w:rFonts w:ascii="Calibri" w:hAnsi="Calibri" w:cs="Calibri"/>
          <w:bCs/>
          <w:i/>
          <w:iCs/>
        </w:rPr>
        <w:t xml:space="preserve"> vinařství</w:t>
      </w:r>
      <w:r w:rsidR="007F61DB">
        <w:rPr>
          <w:rFonts w:ascii="Calibri" w:hAnsi="Calibri" w:cs="Calibri"/>
          <w:bCs/>
          <w:i/>
          <w:iCs/>
        </w:rPr>
        <w:t>,</w:t>
      </w:r>
      <w:r w:rsidRPr="00AC364B">
        <w:rPr>
          <w:rFonts w:ascii="Calibri" w:hAnsi="Calibri" w:cs="Calibri"/>
          <w:bCs/>
          <w:i/>
          <w:iCs/>
        </w:rPr>
        <w:t>“</w:t>
      </w:r>
      <w:r w:rsidRPr="00AC364B">
        <w:rPr>
          <w:rFonts w:ascii="Calibri" w:hAnsi="Calibri" w:cs="Calibri"/>
          <w:bCs/>
        </w:rPr>
        <w:t xml:space="preserve"> komentoval výsledky soutěže </w:t>
      </w:r>
      <w:r w:rsidR="00721167" w:rsidRPr="00721167">
        <w:rPr>
          <w:rFonts w:ascii="Calibri" w:hAnsi="Calibri" w:cs="Calibri"/>
          <w:bCs/>
        </w:rPr>
        <w:t>Ing. Marek Babisz, hlavní sommelier Národního vinařského centra</w:t>
      </w:r>
      <w:r w:rsidRPr="00AC364B">
        <w:rPr>
          <w:rFonts w:ascii="Calibri" w:hAnsi="Calibri" w:cs="Calibri"/>
          <w:bCs/>
        </w:rPr>
        <w:t>, které účast našich vín na soutěži zajišťovalo.</w:t>
      </w:r>
    </w:p>
    <w:p w14:paraId="3940D506" w14:textId="77777777" w:rsidR="00E87B3F" w:rsidRDefault="00E87B3F" w:rsidP="00A80620">
      <w:pPr>
        <w:jc w:val="both"/>
        <w:rPr>
          <w:rFonts w:ascii="Calibri" w:hAnsi="Calibri" w:cs="Calibri"/>
        </w:rPr>
      </w:pPr>
    </w:p>
    <w:p w14:paraId="3D1ED4A5" w14:textId="080884FE" w:rsidR="007C4E9D" w:rsidRDefault="000116DF" w:rsidP="00A8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Loňský historicky nejvyšší počet přihlášených vín (18 094) byl překonán i letos. Během dvou týdnů </w:t>
      </w:r>
      <w:r w:rsidR="007C4E9D">
        <w:rPr>
          <w:rFonts w:ascii="Calibri" w:hAnsi="Calibri" w:cs="Calibri"/>
        </w:rPr>
        <w:t xml:space="preserve">posuzovalo </w:t>
      </w:r>
      <w:r w:rsidR="00E87B3F">
        <w:rPr>
          <w:rFonts w:ascii="Calibri" w:hAnsi="Calibri" w:cs="Calibri"/>
        </w:rPr>
        <w:t xml:space="preserve">téměř </w:t>
      </w:r>
      <w:r>
        <w:rPr>
          <w:rFonts w:ascii="Calibri" w:hAnsi="Calibri" w:cs="Calibri"/>
        </w:rPr>
        <w:t>25</w:t>
      </w:r>
      <w:r w:rsidR="00E87B3F">
        <w:rPr>
          <w:rFonts w:ascii="Calibri" w:hAnsi="Calibri" w:cs="Calibri"/>
        </w:rPr>
        <w:t>0</w:t>
      </w:r>
      <w:r w:rsidR="007C4E9D" w:rsidRPr="007C4E9D">
        <w:rPr>
          <w:rFonts w:ascii="Calibri" w:hAnsi="Calibri" w:cs="Calibri"/>
        </w:rPr>
        <w:t xml:space="preserve"> nejlepších světových odborníků na víno, včetně </w:t>
      </w:r>
      <w:r w:rsidR="00E87B3F">
        <w:rPr>
          <w:rFonts w:ascii="Calibri" w:hAnsi="Calibri" w:cs="Calibri"/>
        </w:rPr>
        <w:t>4</w:t>
      </w:r>
      <w:r>
        <w:rPr>
          <w:rFonts w:ascii="Calibri" w:hAnsi="Calibri" w:cs="Calibri"/>
        </w:rPr>
        <w:t>1</w:t>
      </w:r>
      <w:r w:rsidR="00E87B3F">
        <w:rPr>
          <w:rFonts w:ascii="Calibri" w:hAnsi="Calibri" w:cs="Calibri"/>
        </w:rPr>
        <w:t xml:space="preserve"> držitelů</w:t>
      </w:r>
      <w:r w:rsidR="007C4E9D" w:rsidRPr="007C4E9D">
        <w:rPr>
          <w:rFonts w:ascii="Calibri" w:hAnsi="Calibri" w:cs="Calibri"/>
        </w:rPr>
        <w:t xml:space="preserve"> Master of Wine </w:t>
      </w:r>
      <w:r w:rsidR="007C4E9D">
        <w:rPr>
          <w:rFonts w:ascii="Calibri" w:hAnsi="Calibri" w:cs="Calibri"/>
        </w:rPr>
        <w:t xml:space="preserve">a </w:t>
      </w:r>
      <w:r w:rsidR="00E87B3F"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 w:rsidR="007C4E9D" w:rsidRPr="007C4E9D">
        <w:rPr>
          <w:rFonts w:ascii="Calibri" w:hAnsi="Calibri" w:cs="Calibri"/>
        </w:rPr>
        <w:t xml:space="preserve"> Master Sommelier</w:t>
      </w:r>
      <w:r w:rsidR="007C4E9D">
        <w:rPr>
          <w:rFonts w:ascii="Calibri" w:hAnsi="Calibri" w:cs="Calibri"/>
        </w:rPr>
        <w:t>s</w:t>
      </w:r>
      <w:r w:rsidR="007C4E9D" w:rsidRPr="007C4E9D">
        <w:rPr>
          <w:rFonts w:ascii="Calibri" w:hAnsi="Calibri" w:cs="Calibri"/>
        </w:rPr>
        <w:t>,</w:t>
      </w:r>
      <w:r w:rsidR="00E87B3F">
        <w:rPr>
          <w:rFonts w:ascii="Calibri" w:hAnsi="Calibri" w:cs="Calibri"/>
        </w:rPr>
        <w:t xml:space="preserve"> v historii soutěže rekordních</w:t>
      </w:r>
      <w:r w:rsidR="007C4E9D" w:rsidRPr="007C4E9D">
        <w:rPr>
          <w:rFonts w:ascii="Calibri" w:hAnsi="Calibri" w:cs="Calibri"/>
        </w:rPr>
        <w:t xml:space="preserve"> </w:t>
      </w:r>
      <w:r w:rsidRPr="000116DF">
        <w:rPr>
          <w:rFonts w:ascii="Calibri" w:hAnsi="Calibri" w:cs="Calibri"/>
        </w:rPr>
        <w:t>18 244 vín z 54 zemí</w:t>
      </w:r>
      <w:r>
        <w:rPr>
          <w:rFonts w:ascii="Calibri" w:hAnsi="Calibri" w:cs="Calibri"/>
        </w:rPr>
        <w:t xml:space="preserve"> světa</w:t>
      </w:r>
      <w:r w:rsidR="00E87B3F">
        <w:rPr>
          <w:rFonts w:ascii="Calibri" w:hAnsi="Calibri" w:cs="Calibri"/>
        </w:rPr>
        <w:t xml:space="preserve">. </w:t>
      </w:r>
      <w:r w:rsidR="00441CE0" w:rsidRPr="00441CE0">
        <w:rPr>
          <w:rFonts w:ascii="Calibri" w:hAnsi="Calibri" w:cs="Calibri"/>
        </w:rPr>
        <w:t xml:space="preserve">Soutěž byla založena v roce 2004 prestižním britským magazínem o víně a lihovinách, a letošním ročníkem tak slaví </w:t>
      </w:r>
      <w:r w:rsidR="00E87B3F">
        <w:rPr>
          <w:rFonts w:ascii="Calibri" w:hAnsi="Calibri" w:cs="Calibri"/>
        </w:rPr>
        <w:t>osmnáct</w:t>
      </w:r>
      <w:r w:rsidR="00441CE0" w:rsidRPr="00441CE0">
        <w:rPr>
          <w:rFonts w:ascii="Calibri" w:hAnsi="Calibri" w:cs="Calibri"/>
        </w:rPr>
        <w:t xml:space="preserve"> let své existence mezi nejprestižnějšími a největšími soutěžemi vín na světě. </w:t>
      </w:r>
    </w:p>
    <w:p w14:paraId="60C246F0" w14:textId="77777777" w:rsidR="007F61DB" w:rsidRDefault="007F61DB" w:rsidP="0011060F">
      <w:pPr>
        <w:jc w:val="both"/>
        <w:rPr>
          <w:rFonts w:ascii="Calibri" w:hAnsi="Calibri" w:cs="Calibri"/>
          <w:b/>
        </w:rPr>
      </w:pPr>
    </w:p>
    <w:p w14:paraId="45E2CB27" w14:textId="62B56642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20D4C8A5" w14:textId="77777777" w:rsidR="00336355" w:rsidRPr="00336355" w:rsidRDefault="00336355" w:rsidP="00336355">
      <w:pPr>
        <w:rPr>
          <w:rFonts w:ascii="Calibri" w:hAnsi="Calibri" w:cs="Calibri"/>
        </w:rPr>
      </w:pPr>
      <w:r w:rsidRPr="00336355">
        <w:rPr>
          <w:rFonts w:ascii="Calibri" w:hAnsi="Calibri" w:cs="Calibri"/>
        </w:rPr>
        <w:t>Ing. Marek Babisz, hlavní sommelier Národního vinařského centra</w:t>
      </w:r>
    </w:p>
    <w:p w14:paraId="1E222BD3" w14:textId="4B37B576" w:rsidR="00336355" w:rsidRPr="00336355" w:rsidRDefault="00336355" w:rsidP="00336355">
      <w:pPr>
        <w:rPr>
          <w:rFonts w:ascii="Calibri" w:hAnsi="Calibri" w:cs="Calibri"/>
        </w:rPr>
      </w:pPr>
      <w:r w:rsidRPr="00336355">
        <w:rPr>
          <w:rFonts w:ascii="Calibri" w:hAnsi="Calibri" w:cs="Calibri"/>
        </w:rPr>
        <w:t xml:space="preserve">E-mail: </w:t>
      </w:r>
      <w:hyperlink r:id="rId7" w:history="1">
        <w:r w:rsidRPr="005D6DD5">
          <w:rPr>
            <w:rStyle w:val="Hypertextovodkaz"/>
            <w:rFonts w:ascii="Calibri" w:hAnsi="Calibri" w:cs="Calibri"/>
          </w:rPr>
          <w:t>marek.babisz@vinarskecentrum.cz</w:t>
        </w:r>
      </w:hyperlink>
      <w:r>
        <w:rPr>
          <w:rFonts w:ascii="Calibri" w:hAnsi="Calibri" w:cs="Calibri"/>
        </w:rPr>
        <w:t xml:space="preserve"> </w:t>
      </w:r>
      <w:r w:rsidRPr="00336355">
        <w:rPr>
          <w:rFonts w:ascii="Calibri" w:hAnsi="Calibri" w:cs="Calibri"/>
        </w:rPr>
        <w:t xml:space="preserve">                                    </w:t>
      </w:r>
    </w:p>
    <w:p w14:paraId="25AEE468" w14:textId="1FF7F4E0" w:rsidR="007C4D6B" w:rsidRPr="00614F00" w:rsidRDefault="00336355" w:rsidP="00336355">
      <w:pPr>
        <w:rPr>
          <w:rFonts w:ascii="Calibri" w:hAnsi="Calibri" w:cs="Calibri"/>
        </w:rPr>
      </w:pPr>
      <w:r w:rsidRPr="00336355">
        <w:rPr>
          <w:rFonts w:ascii="Calibri" w:hAnsi="Calibri" w:cs="Calibri"/>
        </w:rPr>
        <w:t>Tel.:  +420 602 470 262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1342A956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</w:t>
      </w:r>
      <w:r w:rsidR="00944E75">
        <w:rPr>
          <w:rFonts w:ascii="Calibri" w:hAnsi="Calibri" w:cs="Calibri"/>
        </w:rPr>
        <w:t> </w:t>
      </w:r>
      <w:r w:rsidR="00935E29">
        <w:rPr>
          <w:rFonts w:ascii="Calibri" w:hAnsi="Calibri" w:cs="Calibri"/>
        </w:rPr>
        <w:t>673</w:t>
      </w:r>
    </w:p>
    <w:p w14:paraId="2CF611F7" w14:textId="77777777" w:rsidR="00944E75" w:rsidRDefault="00944E75" w:rsidP="002E72A0">
      <w:pPr>
        <w:rPr>
          <w:rFonts w:ascii="Calibri" w:hAnsi="Calibri" w:cs="Calibri"/>
          <w:b/>
          <w:szCs w:val="22"/>
        </w:rPr>
      </w:pPr>
    </w:p>
    <w:p w14:paraId="6822AEF8" w14:textId="77777777" w:rsidR="00944E75" w:rsidRDefault="00935E29" w:rsidP="00251614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</w:t>
      </w:r>
      <w:r w:rsidRPr="00AB06B0">
        <w:rPr>
          <w:rFonts w:ascii="Calibri" w:hAnsi="Calibri" w:cs="Calibri"/>
          <w:b/>
          <w:szCs w:val="22"/>
        </w:rPr>
        <w:t xml:space="preserve">na </w:t>
      </w:r>
      <w:hyperlink r:id="rId9" w:history="1">
        <w:r w:rsidR="00441CE0" w:rsidRPr="00AB06B0">
          <w:rPr>
            <w:rStyle w:val="Hypertextovodkaz"/>
            <w:rFonts w:ascii="Calibri" w:hAnsi="Calibri" w:cs="Calibri"/>
            <w:b/>
            <w:bCs/>
          </w:rPr>
          <w:t>www.decanterawards.com</w:t>
        </w:r>
      </w:hyperlink>
      <w:r w:rsidR="00944E75">
        <w:rPr>
          <w:rFonts w:ascii="Calibri" w:hAnsi="Calibri" w:cs="Calibri"/>
          <w:b/>
          <w:bCs/>
          <w:szCs w:val="22"/>
        </w:rPr>
        <w:t xml:space="preserve"> </w:t>
      </w:r>
    </w:p>
    <w:p w14:paraId="193FC5BD" w14:textId="29E5A8B1" w:rsidR="00251614" w:rsidRPr="008F33D8" w:rsidRDefault="00944E75" w:rsidP="00B623C8">
      <w:r>
        <w:rPr>
          <w:rFonts w:ascii="Calibri" w:hAnsi="Calibri" w:cs="Calibri"/>
          <w:b/>
          <w:bCs/>
          <w:szCs w:val="22"/>
        </w:rPr>
        <w:t xml:space="preserve">a o našich vínech na </w:t>
      </w:r>
      <w:hyperlink r:id="rId10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</w:p>
    <w:sectPr w:rsidR="00251614" w:rsidRPr="008F33D8" w:rsidSect="00944E75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8792" w14:textId="77777777" w:rsidR="00012074" w:rsidRDefault="00012074">
      <w:r>
        <w:separator/>
      </w:r>
    </w:p>
  </w:endnote>
  <w:endnote w:type="continuationSeparator" w:id="0">
    <w:p w14:paraId="68F3759F" w14:textId="77777777" w:rsidR="00012074" w:rsidRDefault="0001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E1E3" w14:textId="77777777" w:rsidR="00012074" w:rsidRDefault="00012074">
      <w:r>
        <w:separator/>
      </w:r>
    </w:p>
  </w:footnote>
  <w:footnote w:type="continuationSeparator" w:id="0">
    <w:p w14:paraId="03EFAED0" w14:textId="77777777" w:rsidR="00012074" w:rsidRDefault="0001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17AC8B1B" w:rsidR="006D022F" w:rsidRDefault="00AB06B0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615596" wp14:editId="3B8CCA43">
          <wp:simplePos x="0" y="0"/>
          <wp:positionH relativeFrom="column">
            <wp:posOffset>2072005</wp:posOffset>
          </wp:positionH>
          <wp:positionV relativeFrom="paragraph">
            <wp:posOffset>-243840</wp:posOffset>
          </wp:positionV>
          <wp:extent cx="1038225" cy="1113790"/>
          <wp:effectExtent l="0" t="0" r="9525" b="0"/>
          <wp:wrapTight wrapText="bothSides">
            <wp:wrapPolygon edited="0">
              <wp:start x="0" y="0"/>
              <wp:lineTo x="0" y="21058"/>
              <wp:lineTo x="21402" y="21058"/>
              <wp:lineTo x="2140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620">
      <w:rPr>
        <w:noProof/>
      </w:rPr>
      <w:drawing>
        <wp:anchor distT="0" distB="0" distL="114300" distR="114300" simplePos="0" relativeHeight="251659264" behindDoc="1" locked="0" layoutInCell="1" allowOverlap="1" wp14:anchorId="142A3B34" wp14:editId="0A9022A5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871383">
    <w:abstractNumId w:val="0"/>
  </w:num>
  <w:num w:numId="2" w16cid:durableId="1054082445">
    <w:abstractNumId w:val="4"/>
  </w:num>
  <w:num w:numId="3" w16cid:durableId="169804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996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364335">
    <w:abstractNumId w:val="1"/>
  </w:num>
  <w:num w:numId="6" w16cid:durableId="203644102">
    <w:abstractNumId w:val="5"/>
  </w:num>
  <w:num w:numId="7" w16cid:durableId="1878807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16DF"/>
    <w:rsid w:val="00012074"/>
    <w:rsid w:val="0001639A"/>
    <w:rsid w:val="0002756A"/>
    <w:rsid w:val="00027CC1"/>
    <w:rsid w:val="00031F46"/>
    <w:rsid w:val="0003616E"/>
    <w:rsid w:val="0006257B"/>
    <w:rsid w:val="00063F6C"/>
    <w:rsid w:val="00064964"/>
    <w:rsid w:val="0006702C"/>
    <w:rsid w:val="00075DEA"/>
    <w:rsid w:val="00076681"/>
    <w:rsid w:val="00084E23"/>
    <w:rsid w:val="00086F85"/>
    <w:rsid w:val="00095B16"/>
    <w:rsid w:val="000A7B64"/>
    <w:rsid w:val="000D5864"/>
    <w:rsid w:val="000E3F8D"/>
    <w:rsid w:val="000E6050"/>
    <w:rsid w:val="00103DE6"/>
    <w:rsid w:val="0011011B"/>
    <w:rsid w:val="0011060F"/>
    <w:rsid w:val="00124C05"/>
    <w:rsid w:val="00126C94"/>
    <w:rsid w:val="00135DE6"/>
    <w:rsid w:val="00137B65"/>
    <w:rsid w:val="00142FA7"/>
    <w:rsid w:val="00160944"/>
    <w:rsid w:val="001653C9"/>
    <w:rsid w:val="00172135"/>
    <w:rsid w:val="001965C6"/>
    <w:rsid w:val="00196916"/>
    <w:rsid w:val="001A6DF4"/>
    <w:rsid w:val="001B1D94"/>
    <w:rsid w:val="001B4318"/>
    <w:rsid w:val="001C5D49"/>
    <w:rsid w:val="001D62EB"/>
    <w:rsid w:val="001D6EDC"/>
    <w:rsid w:val="002111B2"/>
    <w:rsid w:val="002231D5"/>
    <w:rsid w:val="002235D6"/>
    <w:rsid w:val="00226AF3"/>
    <w:rsid w:val="0023356E"/>
    <w:rsid w:val="00250244"/>
    <w:rsid w:val="00251614"/>
    <w:rsid w:val="00252EE3"/>
    <w:rsid w:val="002555F7"/>
    <w:rsid w:val="002631FB"/>
    <w:rsid w:val="00284B8E"/>
    <w:rsid w:val="002856AE"/>
    <w:rsid w:val="002909F7"/>
    <w:rsid w:val="0029444B"/>
    <w:rsid w:val="00294ABD"/>
    <w:rsid w:val="002964AF"/>
    <w:rsid w:val="002A5EAF"/>
    <w:rsid w:val="002B05E1"/>
    <w:rsid w:val="002B0900"/>
    <w:rsid w:val="002B5BB9"/>
    <w:rsid w:val="002C1637"/>
    <w:rsid w:val="002D05E7"/>
    <w:rsid w:val="002D2A67"/>
    <w:rsid w:val="002E72A0"/>
    <w:rsid w:val="002E7560"/>
    <w:rsid w:val="00300663"/>
    <w:rsid w:val="003177E5"/>
    <w:rsid w:val="0032108D"/>
    <w:rsid w:val="00336355"/>
    <w:rsid w:val="0034354E"/>
    <w:rsid w:val="00343FC3"/>
    <w:rsid w:val="003458EC"/>
    <w:rsid w:val="0035045F"/>
    <w:rsid w:val="003516DC"/>
    <w:rsid w:val="00352BD3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152CD"/>
    <w:rsid w:val="00434EBE"/>
    <w:rsid w:val="00440EBC"/>
    <w:rsid w:val="00441CE0"/>
    <w:rsid w:val="004602FC"/>
    <w:rsid w:val="00462F12"/>
    <w:rsid w:val="004775C2"/>
    <w:rsid w:val="00492543"/>
    <w:rsid w:val="004932F2"/>
    <w:rsid w:val="00497382"/>
    <w:rsid w:val="004A611B"/>
    <w:rsid w:val="004B31CA"/>
    <w:rsid w:val="004D2A96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B53AF"/>
    <w:rsid w:val="005C3F8C"/>
    <w:rsid w:val="005D6EC3"/>
    <w:rsid w:val="005E624F"/>
    <w:rsid w:val="006070BE"/>
    <w:rsid w:val="00612645"/>
    <w:rsid w:val="00614F00"/>
    <w:rsid w:val="0061731B"/>
    <w:rsid w:val="0062588B"/>
    <w:rsid w:val="00632E95"/>
    <w:rsid w:val="006530FB"/>
    <w:rsid w:val="00655014"/>
    <w:rsid w:val="006577A1"/>
    <w:rsid w:val="00663B24"/>
    <w:rsid w:val="0067209E"/>
    <w:rsid w:val="00683600"/>
    <w:rsid w:val="00693689"/>
    <w:rsid w:val="006D022F"/>
    <w:rsid w:val="006E22F3"/>
    <w:rsid w:val="006E5998"/>
    <w:rsid w:val="006F1664"/>
    <w:rsid w:val="00704BD2"/>
    <w:rsid w:val="007154D6"/>
    <w:rsid w:val="0071555D"/>
    <w:rsid w:val="00721167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3D87"/>
    <w:rsid w:val="007C4D6B"/>
    <w:rsid w:val="007C4E9D"/>
    <w:rsid w:val="007E5F0D"/>
    <w:rsid w:val="007F61DB"/>
    <w:rsid w:val="00802054"/>
    <w:rsid w:val="008058B5"/>
    <w:rsid w:val="00811F18"/>
    <w:rsid w:val="00817F07"/>
    <w:rsid w:val="00826D0E"/>
    <w:rsid w:val="00830BCD"/>
    <w:rsid w:val="00834D0F"/>
    <w:rsid w:val="008367FB"/>
    <w:rsid w:val="00837135"/>
    <w:rsid w:val="00842C3B"/>
    <w:rsid w:val="008543A2"/>
    <w:rsid w:val="008569D2"/>
    <w:rsid w:val="00856C7A"/>
    <w:rsid w:val="00880079"/>
    <w:rsid w:val="008A53B8"/>
    <w:rsid w:val="008B6BFE"/>
    <w:rsid w:val="008C795F"/>
    <w:rsid w:val="008D3007"/>
    <w:rsid w:val="008E3478"/>
    <w:rsid w:val="008E4C41"/>
    <w:rsid w:val="008F33D8"/>
    <w:rsid w:val="00900FAF"/>
    <w:rsid w:val="0090268B"/>
    <w:rsid w:val="00902895"/>
    <w:rsid w:val="00906E7C"/>
    <w:rsid w:val="00911A94"/>
    <w:rsid w:val="00914915"/>
    <w:rsid w:val="009211ED"/>
    <w:rsid w:val="009263AC"/>
    <w:rsid w:val="009320A8"/>
    <w:rsid w:val="00935E29"/>
    <w:rsid w:val="00937600"/>
    <w:rsid w:val="009409FC"/>
    <w:rsid w:val="009417DF"/>
    <w:rsid w:val="00941ED8"/>
    <w:rsid w:val="00944277"/>
    <w:rsid w:val="00944E75"/>
    <w:rsid w:val="009503A6"/>
    <w:rsid w:val="00951C77"/>
    <w:rsid w:val="00952E04"/>
    <w:rsid w:val="00954ED1"/>
    <w:rsid w:val="0096098C"/>
    <w:rsid w:val="009670D5"/>
    <w:rsid w:val="009714DD"/>
    <w:rsid w:val="00973E7B"/>
    <w:rsid w:val="009A12F1"/>
    <w:rsid w:val="009A18DA"/>
    <w:rsid w:val="009A38E0"/>
    <w:rsid w:val="009A3B7F"/>
    <w:rsid w:val="009A541C"/>
    <w:rsid w:val="009B7683"/>
    <w:rsid w:val="009C6295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244AA"/>
    <w:rsid w:val="00A446F9"/>
    <w:rsid w:val="00A54A6B"/>
    <w:rsid w:val="00A5707C"/>
    <w:rsid w:val="00A6390D"/>
    <w:rsid w:val="00A80403"/>
    <w:rsid w:val="00A80620"/>
    <w:rsid w:val="00A860D2"/>
    <w:rsid w:val="00A95615"/>
    <w:rsid w:val="00AB06B0"/>
    <w:rsid w:val="00AC364B"/>
    <w:rsid w:val="00AD2D4C"/>
    <w:rsid w:val="00AE06B4"/>
    <w:rsid w:val="00AE5EA7"/>
    <w:rsid w:val="00AF23A4"/>
    <w:rsid w:val="00AF3BF7"/>
    <w:rsid w:val="00B021CC"/>
    <w:rsid w:val="00B054DD"/>
    <w:rsid w:val="00B06CED"/>
    <w:rsid w:val="00B12FCF"/>
    <w:rsid w:val="00B15DA6"/>
    <w:rsid w:val="00B24EA3"/>
    <w:rsid w:val="00B436D4"/>
    <w:rsid w:val="00B623C8"/>
    <w:rsid w:val="00B64F05"/>
    <w:rsid w:val="00B67600"/>
    <w:rsid w:val="00B7193C"/>
    <w:rsid w:val="00B72675"/>
    <w:rsid w:val="00B90561"/>
    <w:rsid w:val="00B9056A"/>
    <w:rsid w:val="00B97DC8"/>
    <w:rsid w:val="00BB45EA"/>
    <w:rsid w:val="00BD3FC1"/>
    <w:rsid w:val="00BE58B0"/>
    <w:rsid w:val="00BE7CFA"/>
    <w:rsid w:val="00BF1785"/>
    <w:rsid w:val="00C02C16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71C9"/>
    <w:rsid w:val="00D707D0"/>
    <w:rsid w:val="00D813F7"/>
    <w:rsid w:val="00D861FB"/>
    <w:rsid w:val="00D86B05"/>
    <w:rsid w:val="00DA0FF0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463FB"/>
    <w:rsid w:val="00E5483E"/>
    <w:rsid w:val="00E705B5"/>
    <w:rsid w:val="00E8285D"/>
    <w:rsid w:val="00E84D91"/>
    <w:rsid w:val="00E87B3F"/>
    <w:rsid w:val="00E92F06"/>
    <w:rsid w:val="00E95009"/>
    <w:rsid w:val="00EB7536"/>
    <w:rsid w:val="00EC046D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19"/>
    <w:rsid w:val="00FB12E2"/>
    <w:rsid w:val="00FB3857"/>
    <w:rsid w:val="00FB4353"/>
    <w:rsid w:val="00FB750E"/>
    <w:rsid w:val="00FC1842"/>
    <w:rsid w:val="00FD0E64"/>
    <w:rsid w:val="00FD5E28"/>
    <w:rsid w:val="00FF0E0E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ek.babisz@vinarske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canterawar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2669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5</cp:revision>
  <dcterms:created xsi:type="dcterms:W3CDTF">2022-06-08T12:11:00Z</dcterms:created>
  <dcterms:modified xsi:type="dcterms:W3CDTF">2022-06-08T12:57:00Z</dcterms:modified>
</cp:coreProperties>
</file>