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FB" w:rsidRDefault="000E21FB" w:rsidP="000E21FB">
      <w:pPr>
        <w:pStyle w:val="Nadpisvelk"/>
      </w:pPr>
      <w:bookmarkStart w:id="0" w:name="_GoBack"/>
      <w:bookmarkEnd w:id="0"/>
      <w:r w:rsidRPr="001A3E3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1.5pt;height:244.5pt">
            <v:imagedata r:id="rId5" o:title="logo_Svatomartinske_na TZ"/>
          </v:shape>
        </w:pict>
      </w:r>
    </w:p>
    <w:p w:rsidR="000E21FB" w:rsidRDefault="000E21FB" w:rsidP="000E21FB">
      <w:pPr>
        <w:pStyle w:val="Nadpisvelk"/>
      </w:pPr>
    </w:p>
    <w:p w:rsidR="000E21FB" w:rsidRPr="001A3E39" w:rsidRDefault="007D7B96" w:rsidP="000E21FB">
      <w:pPr>
        <w:pStyle w:val="Nadpisvelk"/>
        <w:rPr>
          <w:sz w:val="56"/>
          <w:szCs w:val="56"/>
        </w:rPr>
      </w:pPr>
      <w:r>
        <w:rPr>
          <w:sz w:val="56"/>
          <w:szCs w:val="56"/>
        </w:rPr>
        <w:t>Svatomartinské 20</w:t>
      </w:r>
      <w:r w:rsidR="00BB1FE7">
        <w:rPr>
          <w:sz w:val="56"/>
          <w:szCs w:val="56"/>
        </w:rPr>
        <w:t>22</w:t>
      </w:r>
    </w:p>
    <w:p w:rsidR="000E21FB" w:rsidRDefault="000E21FB" w:rsidP="000E21FB">
      <w:pPr>
        <w:pStyle w:val="Nadpisvelk"/>
        <w:rPr>
          <w:sz w:val="56"/>
          <w:szCs w:val="56"/>
        </w:rPr>
      </w:pPr>
      <w:r w:rsidRPr="001A3E39">
        <w:rPr>
          <w:sz w:val="56"/>
          <w:szCs w:val="56"/>
        </w:rPr>
        <w:t>Technické podmínky udělení licence</w:t>
      </w:r>
    </w:p>
    <w:p w:rsidR="000E21FB" w:rsidRPr="002C3576" w:rsidRDefault="000E21FB" w:rsidP="000E21FB">
      <w:pPr>
        <w:rPr>
          <w:lang w:eastAsia="en-US"/>
        </w:rPr>
      </w:pPr>
    </w:p>
    <w:p w:rsidR="000E21FB" w:rsidRDefault="000E21FB" w:rsidP="000E21FB"/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E21FB" w:rsidTr="000E21FB">
        <w:tc>
          <w:tcPr>
            <w:tcW w:w="3070" w:type="dxa"/>
          </w:tcPr>
          <w:p w:rsidR="000E21FB" w:rsidRDefault="000E21FB" w:rsidP="000E21FB">
            <w:pPr>
              <w:jc w:val="center"/>
            </w:pPr>
            <w:r w:rsidRPr="001A3E39">
              <w:pict>
                <v:shape id="_x0000_i1026" type="#_x0000_t75" style="width:73.5pt;height:75pt">
                  <v:imagedata r:id="rId6" o:title="logo_vinarsky_fond"/>
                </v:shape>
              </w:pict>
            </w:r>
          </w:p>
        </w:tc>
        <w:tc>
          <w:tcPr>
            <w:tcW w:w="3071" w:type="dxa"/>
          </w:tcPr>
          <w:p w:rsidR="000E21FB" w:rsidRDefault="000E21FB" w:rsidP="000E21FB">
            <w:pPr>
              <w:jc w:val="center"/>
            </w:pPr>
            <w:r w:rsidRPr="001A3E39">
              <w:pict>
                <v:shape id="_x0000_i1027" type="#_x0000_t75" style="width:75pt;height:75pt">
                  <v:imagedata r:id="rId7" o:title="vina_z_moravy_cech_100"/>
                </v:shape>
              </w:pict>
            </w:r>
          </w:p>
        </w:tc>
        <w:tc>
          <w:tcPr>
            <w:tcW w:w="3071" w:type="dxa"/>
          </w:tcPr>
          <w:p w:rsidR="000E21FB" w:rsidRDefault="000E21FB" w:rsidP="000E21FB">
            <w:pPr>
              <w:jc w:val="center"/>
            </w:pPr>
            <w:r w:rsidRPr="001A3E39">
              <w:pict>
                <v:shape id="_x0000_i1028" type="#_x0000_t75" style="width:85.5pt;height:76.5pt">
                  <v:imagedata r:id="rId8" o:title="NVC_nove_3_300"/>
                </v:shape>
              </w:pict>
            </w:r>
          </w:p>
        </w:tc>
      </w:tr>
    </w:tbl>
    <w:p w:rsidR="000E21FB" w:rsidRDefault="000E21FB" w:rsidP="000E21FB"/>
    <w:p w:rsidR="000E21FB" w:rsidRDefault="000E21FB" w:rsidP="000E21FB">
      <w:pPr>
        <w:pStyle w:val="Nadpisstedn"/>
      </w:pPr>
      <w:r>
        <w:br w:type="page"/>
      </w:r>
      <w:r>
        <w:lastRenderedPageBreak/>
        <w:t>1. Analytické a senzorické standardy vín</w:t>
      </w:r>
    </w:p>
    <w:p w:rsidR="000E21FB" w:rsidRDefault="000E21FB" w:rsidP="000E21FB">
      <w:r>
        <w:t>Jako „SVATOMARTINSKÉ“ se mohou vyrábět tři typy vín:</w:t>
      </w:r>
    </w:p>
    <w:p w:rsidR="000E21FB" w:rsidRDefault="00425D56" w:rsidP="000E21FB">
      <w:pPr>
        <w:numPr>
          <w:ilvl w:val="0"/>
          <w:numId w:val="1"/>
        </w:numPr>
      </w:pPr>
      <w:r>
        <w:t xml:space="preserve">bílé – odrůdy Müller </w:t>
      </w:r>
      <w:r w:rsidR="00791697">
        <w:t>Thurgau,</w:t>
      </w:r>
      <w:r w:rsidR="000E21FB">
        <w:t xml:space="preserve"> Veltlínské červené rané</w:t>
      </w:r>
      <w:r w:rsidR="00791697">
        <w:t xml:space="preserve"> a Muškát moravský</w:t>
      </w:r>
    </w:p>
    <w:p w:rsidR="000E21FB" w:rsidRDefault="000E21FB" w:rsidP="000E21FB">
      <w:pPr>
        <w:numPr>
          <w:ilvl w:val="0"/>
          <w:numId w:val="1"/>
        </w:numPr>
      </w:pPr>
      <w:r>
        <w:t>růžové</w:t>
      </w:r>
      <w:r w:rsidR="006C225A">
        <w:t xml:space="preserve"> a klarety</w:t>
      </w:r>
      <w:r>
        <w:t xml:space="preserve"> – odrůdy Modrý</w:t>
      </w:r>
      <w:r w:rsidR="00E7391C">
        <w:t xml:space="preserve"> Portugal, </w:t>
      </w:r>
      <w:r>
        <w:t>Svatovavřinecké</w:t>
      </w:r>
      <w:r w:rsidR="00CC6B19">
        <w:t xml:space="preserve"> </w:t>
      </w:r>
      <w:r w:rsidR="00E7391C">
        <w:t xml:space="preserve">a </w:t>
      </w:r>
      <w:r w:rsidR="00CC6B19" w:rsidRPr="00E7391C">
        <w:t>Zweigeltrebe</w:t>
      </w:r>
    </w:p>
    <w:p w:rsidR="000E21FB" w:rsidRDefault="000E21FB" w:rsidP="000E21FB">
      <w:pPr>
        <w:numPr>
          <w:ilvl w:val="0"/>
          <w:numId w:val="1"/>
        </w:numPr>
      </w:pPr>
      <w:r>
        <w:t>červené – odrůdy Modrý Portugal a Svatovavřinecké</w:t>
      </w:r>
      <w:r w:rsidR="00CC6B19">
        <w:t xml:space="preserve"> </w:t>
      </w:r>
    </w:p>
    <w:p w:rsidR="000E21FB" w:rsidRDefault="000E21FB" w:rsidP="000E21FB">
      <w:r>
        <w:t>Jednotlivý typ vína je možno vyrobit z každé uvedené odrůdy či z libovolné směsi (cuvée) uvedených dvou odrůd u každého typu.</w:t>
      </w:r>
      <w:r w:rsidR="00200B0A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:rsidR="000E21FB" w:rsidRDefault="000E21FB" w:rsidP="000E21FB">
      <w:pPr>
        <w:pStyle w:val="Podnadpis"/>
      </w:pPr>
      <w:r>
        <w:t>Závazné analytické a senzorické standardy: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708"/>
        <w:gridCol w:w="1875"/>
        <w:gridCol w:w="1986"/>
        <w:gridCol w:w="2160"/>
      </w:tblGrid>
      <w:tr w:rsidR="000E21FB" w:rsidTr="000E21FB">
        <w:tc>
          <w:tcPr>
            <w:tcW w:w="1559" w:type="dxa"/>
          </w:tcPr>
          <w:p w:rsidR="000E21FB" w:rsidRPr="00E75226" w:rsidRDefault="000E21FB" w:rsidP="000E21FB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708" w:type="dxa"/>
          </w:tcPr>
          <w:p w:rsidR="000E21FB" w:rsidRPr="00E75226" w:rsidRDefault="000E21FB" w:rsidP="000E21FB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75" w:type="dxa"/>
          </w:tcPr>
          <w:p w:rsidR="000E21FB" w:rsidRPr="00E75226" w:rsidRDefault="000E21FB" w:rsidP="000E21FB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1986" w:type="dxa"/>
          </w:tcPr>
          <w:p w:rsidR="000E21FB" w:rsidRPr="00E75226" w:rsidRDefault="000E21FB" w:rsidP="000E21FB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160" w:type="dxa"/>
          </w:tcPr>
          <w:p w:rsidR="000E21FB" w:rsidRPr="00E75226" w:rsidRDefault="000E21FB" w:rsidP="000E21FB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E21FB" w:rsidTr="000E21FB">
        <w:tc>
          <w:tcPr>
            <w:tcW w:w="1559" w:type="dxa"/>
          </w:tcPr>
          <w:p w:rsidR="000E21FB" w:rsidRPr="00E75226" w:rsidRDefault="000E21FB" w:rsidP="000E21FB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Bílé</w:t>
            </w:r>
          </w:p>
        </w:tc>
        <w:tc>
          <w:tcPr>
            <w:tcW w:w="1708" w:type="dxa"/>
          </w:tcPr>
          <w:p w:rsidR="000E21FB" w:rsidRPr="00E75226" w:rsidRDefault="000E21FB" w:rsidP="000E21FB">
            <w:pPr>
              <w:rPr>
                <w:sz w:val="20"/>
                <w:szCs w:val="20"/>
              </w:rPr>
            </w:pPr>
            <w:proofErr w:type="gramStart"/>
            <w:r w:rsidRPr="00E75226">
              <w:rPr>
                <w:sz w:val="20"/>
                <w:szCs w:val="20"/>
              </w:rPr>
              <w:t xml:space="preserve">12,5  %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875" w:type="dxa"/>
          </w:tcPr>
          <w:p w:rsidR="000E21FB" w:rsidRPr="00E75226" w:rsidRDefault="000E21FB" w:rsidP="000E21FB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1986" w:type="dxa"/>
          </w:tcPr>
          <w:p w:rsidR="000E21FB" w:rsidRPr="00E75226" w:rsidRDefault="000E21FB" w:rsidP="000E21FB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Zelenkavě-žlutá barva, svěží ovocité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0E21FB" w:rsidRPr="00E75226" w:rsidRDefault="000E21FB" w:rsidP="000E21FB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E1C80" w:rsidTr="000E21FB">
        <w:tc>
          <w:tcPr>
            <w:tcW w:w="1559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Klaret</w:t>
            </w:r>
          </w:p>
        </w:tc>
        <w:tc>
          <w:tcPr>
            <w:tcW w:w="1708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75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1986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E1C80" w:rsidTr="000E21FB">
        <w:tc>
          <w:tcPr>
            <w:tcW w:w="1559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708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75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1986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E1C80" w:rsidTr="000E21FB">
        <w:tc>
          <w:tcPr>
            <w:tcW w:w="1559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708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75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1986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Příjemná rubínová či granátová barva, svěží ovocitá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0E1C80" w:rsidRPr="00E75226" w:rsidRDefault="000E1C80" w:rsidP="000E1C80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:rsidR="000E21FB" w:rsidRDefault="000E21FB" w:rsidP="000E21FB"/>
    <w:p w:rsidR="000E21FB" w:rsidRDefault="000E21FB" w:rsidP="000E21FB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:rsidR="000E21FB" w:rsidRDefault="000E21FB" w:rsidP="000E21FB">
      <w:r>
        <w:rPr>
          <w:sz w:val="20"/>
          <w:szCs w:val="20"/>
        </w:rPr>
        <w:lastRenderedPageBreak/>
        <w:t>**) = Suché dle vinařského zákona (tj. až do 9 g/l zbytkové</w:t>
      </w:r>
      <w:r w:rsidR="00F92EA3">
        <w:rPr>
          <w:sz w:val="20"/>
          <w:szCs w:val="20"/>
        </w:rPr>
        <w:t>ho</w:t>
      </w:r>
      <w:r>
        <w:rPr>
          <w:sz w:val="20"/>
          <w:szCs w:val="20"/>
        </w:rPr>
        <w:t xml:space="preserve"> cukru při zachování podmínky rozdílu obsahu cukru a kyselin méně než 2 g/l).</w:t>
      </w:r>
      <w:r w:rsidR="008E0548">
        <w:rPr>
          <w:sz w:val="20"/>
          <w:szCs w:val="20"/>
        </w:rPr>
        <w:t xml:space="preserve"> Jako „suché“ musí být označeno i na etiketě.</w:t>
      </w:r>
    </w:p>
    <w:p w:rsidR="000E21FB" w:rsidRDefault="000E21FB" w:rsidP="000E21FB">
      <w:pPr>
        <w:pStyle w:val="Nadpisstedn"/>
      </w:pPr>
      <w:r>
        <w:t>2. Přihláška a dodání vzorků</w:t>
      </w:r>
    </w:p>
    <w:p w:rsidR="000E21FB" w:rsidRDefault="000E21FB" w:rsidP="000E21FB">
      <w:r>
        <w:t xml:space="preserve">Přihláška obsahuje přesnou identifikaci výrobce a jednotlivých vzorků. </w:t>
      </w:r>
      <w:r w:rsidR="00200B0A">
        <w:t xml:space="preserve">Přihláška se podává elektronicky prostřednictvím webu </w:t>
      </w:r>
      <w:hyperlink r:id="rId9" w:history="1">
        <w:r w:rsidR="00200B0A" w:rsidRPr="00300B2B">
          <w:rPr>
            <w:rStyle w:val="Hypertextovodkaz"/>
          </w:rPr>
          <w:t>www.elwis.cz</w:t>
        </w:r>
      </w:hyperlink>
      <w:r w:rsidR="00200B0A">
        <w:t>. Přihláška, vytištěná ze systému a podepsaná kompetentní osobou za přihlašovatele, je předána spolu s doručením vzorků</w:t>
      </w:r>
      <w:r>
        <w:t>. Poplatek za hodnocení jednoho vzo</w:t>
      </w:r>
      <w:r w:rsidR="005533D4">
        <w:t xml:space="preserve">rku vína činí </w:t>
      </w:r>
      <w:r w:rsidR="00E7391C">
        <w:t>6</w:t>
      </w:r>
      <w:r w:rsidR="00A54746">
        <w:t xml:space="preserve">00 Kč </w:t>
      </w:r>
      <w:r w:rsidR="00E7391C">
        <w:t>včetně</w:t>
      </w:r>
      <w:r w:rsidR="00A54746">
        <w:t xml:space="preserve"> DPH 21</w:t>
      </w:r>
      <w:r w:rsidRPr="00A54746">
        <w:t>%.</w:t>
      </w:r>
    </w:p>
    <w:p w:rsidR="009A5A61" w:rsidRPr="009A5A61" w:rsidRDefault="002F2DB9" w:rsidP="009A5A61">
      <w:pPr>
        <w:autoSpaceDE w:val="0"/>
        <w:autoSpaceDN w:val="0"/>
        <w:adjustRightInd w:val="0"/>
        <w:spacing w:after="0"/>
      </w:pPr>
      <w:r>
        <w:t>Výrobce předloží 2</w:t>
      </w:r>
      <w:r w:rsidR="009A5A61" w:rsidRPr="00535450">
        <w:t>x 0,75l</w:t>
      </w:r>
      <w:r w:rsidR="009A5A61">
        <w:t xml:space="preserve"> řádně uzavřené a</w:t>
      </w:r>
      <w:r w:rsidR="009A5A61" w:rsidRPr="009A5A61">
        <w:t xml:space="preserve"> zapečetěné lahve od každého vzorku. </w:t>
      </w:r>
      <w:r>
        <w:t>Jedna lahev</w:t>
      </w:r>
      <w:r w:rsidR="009A5A61">
        <w:t xml:space="preserve"> </w:t>
      </w:r>
      <w:r>
        <w:t>bude</w:t>
      </w:r>
      <w:r w:rsidR="009A5A61" w:rsidRPr="009A5A61">
        <w:t xml:space="preserve"> urč</w:t>
      </w:r>
      <w:r>
        <w:t>ena</w:t>
      </w:r>
      <w:r w:rsidR="009A5A61">
        <w:t xml:space="preserve"> pro potřeby hodnocení, jedna</w:t>
      </w:r>
      <w:r w:rsidR="009A5A61" w:rsidRPr="009A5A61">
        <w:t xml:space="preserve"> </w:t>
      </w:r>
      <w:r w:rsidR="009A5A61">
        <w:t xml:space="preserve">láhev </w:t>
      </w:r>
      <w:r w:rsidR="009A5A61" w:rsidRPr="009A5A61">
        <w:t xml:space="preserve">pak pro </w:t>
      </w:r>
      <w:r w:rsidR="009A5A61">
        <w:t xml:space="preserve">SZPI </w:t>
      </w:r>
      <w:r>
        <w:t>a</w:t>
      </w:r>
      <w:r w:rsidR="009A5A61">
        <w:t xml:space="preserve"> případnou kontrolu.</w:t>
      </w:r>
    </w:p>
    <w:p w:rsidR="000E21FB" w:rsidRDefault="000E21FB" w:rsidP="000E21FB">
      <w:pPr>
        <w:pStyle w:val="Nadpisstedn"/>
      </w:pPr>
      <w:r>
        <w:t>3. Hodnocení</w:t>
      </w:r>
    </w:p>
    <w:p w:rsidR="000E21FB" w:rsidRDefault="000E21FB" w:rsidP="000E21FB">
      <w:r>
        <w:t>Hodnocení vzorků bude provádět nezávislá komise z řad vin</w:t>
      </w:r>
      <w:r w:rsidR="00B524DD">
        <w:t>ařských odborníků, sommelierů a </w:t>
      </w:r>
      <w:r>
        <w:t xml:space="preserve">uznávaných degustátorů.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200B0A">
          <w:t>Národní vinařské centrum</w:t>
        </w:r>
      </w:smartTag>
      <w:r w:rsidR="00200B0A">
        <w:t xml:space="preserve">, o.p.s. po odsouhlasení s </w:t>
      </w:r>
      <w:r>
        <w:t>vlastník</w:t>
      </w:r>
      <w:r w:rsidR="00200B0A">
        <w:t>em</w:t>
      </w:r>
      <w:r>
        <w:t xml:space="preserve"> známky „</w:t>
      </w:r>
      <w:proofErr w:type="gramStart"/>
      <w:r>
        <w:t>Svatomartinské“– Vinařský</w:t>
      </w:r>
      <w:r w:rsidR="00200B0A">
        <w:t>m</w:t>
      </w:r>
      <w:proofErr w:type="gramEnd"/>
      <w:r>
        <w:t xml:space="preserve"> fond</w:t>
      </w:r>
      <w:r w:rsidR="00200B0A">
        <w:t>em</w:t>
      </w:r>
      <w:r>
        <w:t xml:space="preserve"> ČR.</w:t>
      </w:r>
    </w:p>
    <w:p w:rsidR="000E21FB" w:rsidRDefault="000E21FB" w:rsidP="000E21FB">
      <w:r>
        <w:t>Hodnocení vzorků bude anonymní (co do označení vzorků). Členové komise budou znát typ (bílé/ růžové/ červené) a odrůdu (případně označení jako cuvée bez specifikace poměru).</w:t>
      </w:r>
    </w:p>
    <w:p w:rsidR="00791697" w:rsidRPr="00063758" w:rsidRDefault="00791697" w:rsidP="00791697">
      <w:pPr>
        <w:pStyle w:val="Seznamsodrkami"/>
        <w:numPr>
          <w:ilvl w:val="0"/>
          <w:numId w:val="0"/>
        </w:numPr>
      </w:pPr>
      <w:r>
        <w:t>Senzorické h</w:t>
      </w:r>
      <w:r w:rsidRPr="00B21EE4">
        <w:t xml:space="preserve">odnocení </w:t>
      </w:r>
      <w:r w:rsidRPr="00535450">
        <w:t xml:space="preserve">proběhne na </w:t>
      </w:r>
      <w:r w:rsidR="00200B0A" w:rsidRPr="00535450">
        <w:t xml:space="preserve">počítačovém systém </w:t>
      </w:r>
      <w:proofErr w:type="spellStart"/>
      <w:r w:rsidR="00200B0A" w:rsidRPr="00535450">
        <w:t>Elwis</w:t>
      </w:r>
      <w:proofErr w:type="spellEnd"/>
      <w:r w:rsidRPr="00535450">
        <w:t xml:space="preserve"> 100 bodovým systémem, vyhodnocení výsledků bude mediánem, min. bodové hodnocení pro uvedení vín</w:t>
      </w:r>
      <w:r w:rsidR="002B4DB0">
        <w:t>a „Svatomartinské“ na trh bude 80</w:t>
      </w:r>
      <w:r w:rsidRPr="00535450">
        <w:t xml:space="preserve"> bodů. Pro opakování senzorického posouzení vzorku je min. bodové hodnocení 7</w:t>
      </w:r>
      <w:r w:rsidR="002B4DB0">
        <w:t>7</w:t>
      </w:r>
      <w:r w:rsidRPr="00535450">
        <w:t xml:space="preserve"> bodů. Pokud víno </w:t>
      </w:r>
      <w:r w:rsidR="002B4DB0">
        <w:t>dosáhne bodového hodnocení pod 80</w:t>
      </w:r>
      <w:r w:rsidRPr="00535450">
        <w:t xml:space="preserve"> bodů i po</w:t>
      </w:r>
      <w:r>
        <w:t xml:space="preserve"> opakovaném hodnocení, víno nelze povolit na trh pod označením „Svatomartinské víno 20</w:t>
      </w:r>
      <w:r w:rsidR="00BB1FE7">
        <w:t>22</w:t>
      </w:r>
      <w:r>
        <w:t>“.</w:t>
      </w:r>
    </w:p>
    <w:p w:rsidR="000E21FB" w:rsidRDefault="000E21FB" w:rsidP="000E21FB">
      <w:r>
        <w:t xml:space="preserve">Výsledek hodnocení bude vinařům sdělen bezprostředně </w:t>
      </w:r>
      <w:r w:rsidR="00F92EA3">
        <w:t>po ukončení hodnocení, resp. po </w:t>
      </w:r>
      <w:r>
        <w:t>dokončení technického zpracování výsledků. Zveřejněn bude pouze seznam vín s kladným výsledkem udělení známky – vína s negativním hodnocením nebudou publikována.</w:t>
      </w:r>
    </w:p>
    <w:p w:rsidR="000E21FB" w:rsidRDefault="000E21FB" w:rsidP="000E21FB">
      <w:r>
        <w:t>Hodnocení proběhne v degustačním pracovišti Národního vi</w:t>
      </w:r>
      <w:r w:rsidR="00F92EA3">
        <w:t>nařského centra ve Valticích za </w:t>
      </w:r>
      <w:r>
        <w:t>dodržení zásad odborného nezávislého hodnocení vín.</w:t>
      </w:r>
    </w:p>
    <w:p w:rsidR="00E402D4" w:rsidRPr="005F0A4A" w:rsidRDefault="000E21FB" w:rsidP="00E402D4">
      <w:pPr>
        <w:pStyle w:val="Nadpisstedn"/>
      </w:pPr>
      <w:r>
        <w:t>4. Označování láhví</w:t>
      </w:r>
      <w:r w:rsidR="00E402D4">
        <w:t xml:space="preserve"> a vzory etiket podle aktuálních právních předpisů</w:t>
      </w:r>
    </w:p>
    <w:p w:rsidR="000E21FB" w:rsidRPr="00DB3B69" w:rsidRDefault="000E21FB" w:rsidP="000E21FB">
      <w:r w:rsidRPr="00DB3B69">
        <w:t xml:space="preserve">Láhve s vínem </w:t>
      </w:r>
      <w:r w:rsidR="00E402D4">
        <w:t xml:space="preserve">označeným jako „Svatomartinské“ </w:t>
      </w:r>
    </w:p>
    <w:p w:rsidR="000E21FB" w:rsidRDefault="000E21FB" w:rsidP="000E21FB">
      <w:pPr>
        <w:numPr>
          <w:ilvl w:val="0"/>
          <w:numId w:val="2"/>
        </w:numPr>
      </w:pPr>
      <w:r w:rsidRPr="00DB3B69">
        <w:t>Musí být označeny etiketou, na které bude uvedeno společné logo „Svatoma</w:t>
      </w:r>
      <w:r w:rsidR="00BB1FE7">
        <w:t>rtinské 2022</w:t>
      </w:r>
      <w:r w:rsidRPr="00DB3B69">
        <w:t>“. Vinař buď může zapracovat logo do své etikety v souladu s grafickým manuálem, který bude vydán majitelem značky; nebo bude moci použít společné etikety, na kterou si dotiskne variabilní údaje o vínu a o svém vinařství.</w:t>
      </w:r>
    </w:p>
    <w:p w:rsidR="005F0A4A" w:rsidRDefault="00DB3B69" w:rsidP="005F0A4A">
      <w:pPr>
        <w:numPr>
          <w:ilvl w:val="0"/>
          <w:numId w:val="2"/>
        </w:numPr>
      </w:pPr>
      <w:r w:rsidRPr="00DB3B69">
        <w:t>Každá láhev „Svatomartinského“ musí mít společnou smršťovací záklopku nebo šroubovací uzá</w:t>
      </w:r>
      <w:r w:rsidR="00BB1FE7">
        <w:t>věr s logem „Svatomartinské 2022</w:t>
      </w:r>
      <w:r w:rsidRPr="00DB3B69">
        <w:t>“. Záklopky a šroubovací uzávěry bude dist</w:t>
      </w:r>
      <w:r w:rsidR="00400B58">
        <w:t>ribuovat určený výrobce záklopek nebo uzávěrů</w:t>
      </w:r>
      <w:r w:rsidRPr="00DB3B69">
        <w:t>.</w:t>
      </w:r>
    </w:p>
    <w:p w:rsidR="005F0A4A" w:rsidRDefault="005F0A4A" w:rsidP="00E402D4">
      <w:pPr>
        <w:numPr>
          <w:ilvl w:val="0"/>
          <w:numId w:val="2"/>
        </w:numPr>
      </w:pPr>
      <w:r>
        <w:t xml:space="preserve">Všechny lahve označované jako „Svatomartinské víno“ musí splňovat aktuální právní předpisy, které naleznete na stránkách SZPI zde: </w:t>
      </w:r>
      <w:hyperlink r:id="rId10" w:history="1">
        <w:r w:rsidRPr="005F0A4A">
          <w:rPr>
            <w:rStyle w:val="Hypertextovodkaz"/>
          </w:rPr>
          <w:t>http://www.szpi.gov.cz/ls</w:t>
        </w:r>
        <w:r w:rsidRPr="005F0A4A">
          <w:rPr>
            <w:rStyle w:val="Hypertextovodkaz"/>
          </w:rPr>
          <w:t>t</w:t>
        </w:r>
        <w:r w:rsidRPr="005F0A4A">
          <w:rPr>
            <w:rStyle w:val="Hypertextovodkaz"/>
          </w:rPr>
          <w:t>Doc.asp</w:t>
        </w:r>
        <w:r w:rsidRPr="005F0A4A">
          <w:rPr>
            <w:rStyle w:val="Hypertextovodkaz"/>
          </w:rPr>
          <w:t>x</w:t>
        </w:r>
        <w:r w:rsidRPr="005F0A4A">
          <w:rPr>
            <w:rStyle w:val="Hypertextovodkaz"/>
          </w:rPr>
          <w:t>?ni</w:t>
        </w:r>
        <w:r w:rsidRPr="005F0A4A">
          <w:rPr>
            <w:rStyle w:val="Hypertextovodkaz"/>
          </w:rPr>
          <w:t>d</w:t>
        </w:r>
        <w:r w:rsidRPr="005F0A4A">
          <w:rPr>
            <w:rStyle w:val="Hypertextovodkaz"/>
          </w:rPr>
          <w:t>=</w:t>
        </w:r>
        <w:r w:rsidRPr="005F0A4A">
          <w:rPr>
            <w:rStyle w:val="Hypertextovodkaz"/>
          </w:rPr>
          <w:t>1</w:t>
        </w:r>
        <w:r w:rsidRPr="005F0A4A">
          <w:rPr>
            <w:rStyle w:val="Hypertextovodkaz"/>
          </w:rPr>
          <w:t>1</w:t>
        </w:r>
        <w:r w:rsidRPr="005F0A4A">
          <w:rPr>
            <w:rStyle w:val="Hypertextovodkaz"/>
          </w:rPr>
          <w:t>428</w:t>
        </w:r>
      </w:hyperlink>
    </w:p>
    <w:p w:rsidR="00E402D4" w:rsidRPr="005210A9" w:rsidRDefault="00E402D4" w:rsidP="00E402D4">
      <w:pPr>
        <w:numPr>
          <w:ilvl w:val="0"/>
          <w:numId w:val="2"/>
        </w:numPr>
        <w:jc w:val="both"/>
      </w:pPr>
      <w:r w:rsidRPr="005210A9">
        <w:t xml:space="preserve">Nabyvatel licence je povinen uvést na etiketách všech lahví vín, které uvede do oběhu pod označením „SVATOMARTINSKÉ“ tyto údaje: </w:t>
      </w:r>
    </w:p>
    <w:p w:rsidR="00E402D4" w:rsidRPr="005210A9" w:rsidRDefault="00E402D4" w:rsidP="00E402D4">
      <w:pPr>
        <w:numPr>
          <w:ilvl w:val="0"/>
          <w:numId w:val="9"/>
        </w:numPr>
        <w:jc w:val="both"/>
      </w:pPr>
      <w:r w:rsidRPr="005210A9">
        <w:lastRenderedPageBreak/>
        <w:t>název a adresu stáčírny, doplněnou slovy „stáčírna“ nebo „</w:t>
      </w:r>
      <w:proofErr w:type="gramStart"/>
      <w:r w:rsidRPr="005210A9">
        <w:t>plněno v (....)“</w:t>
      </w:r>
      <w:proofErr w:type="gramEnd"/>
      <w:r w:rsidRPr="005210A9">
        <w:t xml:space="preserve"> </w:t>
      </w:r>
    </w:p>
    <w:p w:rsidR="00E402D4" w:rsidRDefault="00E402D4" w:rsidP="00E402D4">
      <w:pPr>
        <w:numPr>
          <w:ilvl w:val="0"/>
          <w:numId w:val="9"/>
        </w:numPr>
        <w:jc w:val="both"/>
      </w:pPr>
      <w:r w:rsidRPr="005210A9">
        <w:t>název a adresu výrobce, doplněnou slovy „výrobce“ nebo „</w:t>
      </w:r>
      <w:proofErr w:type="gramStart"/>
      <w:r w:rsidRPr="005210A9">
        <w:t>vyrobeno v (....)“</w:t>
      </w:r>
      <w:proofErr w:type="gramEnd"/>
    </w:p>
    <w:p w:rsidR="00E402D4" w:rsidRDefault="00E402D4" w:rsidP="00E402D4">
      <w:pPr>
        <w:numPr>
          <w:ilvl w:val="0"/>
          <w:numId w:val="9"/>
        </w:numPr>
        <w:jc w:val="both"/>
      </w:pPr>
      <w:r>
        <w:t>číslo šarže, které odpovídá číslu šarže, pod kterou bylo víno přihlašováno k senzorickému hodnocení.</w:t>
      </w:r>
      <w:r w:rsidRPr="005210A9">
        <w:t xml:space="preserve"> </w:t>
      </w:r>
    </w:p>
    <w:p w:rsidR="00E402D4" w:rsidRPr="00200B0A" w:rsidRDefault="00E402D4" w:rsidP="00E402D4">
      <w:pPr>
        <w:ind w:left="720"/>
      </w:pPr>
    </w:p>
    <w:sectPr w:rsidR="00E402D4" w:rsidRPr="00200B0A" w:rsidSect="005F0A4A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0E5CDA"/>
    <w:multiLevelType w:val="hybridMultilevel"/>
    <w:tmpl w:val="A796C3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A644C"/>
    <w:multiLevelType w:val="hybridMultilevel"/>
    <w:tmpl w:val="EB328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0808FC"/>
    <w:multiLevelType w:val="hybridMultilevel"/>
    <w:tmpl w:val="AA286F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0F3AF7"/>
    <w:multiLevelType w:val="hybridMultilevel"/>
    <w:tmpl w:val="BA284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E7082D"/>
    <w:multiLevelType w:val="hybridMultilevel"/>
    <w:tmpl w:val="533CB7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E880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972444"/>
    <w:multiLevelType w:val="hybridMultilevel"/>
    <w:tmpl w:val="19CE32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B10625F"/>
    <w:multiLevelType w:val="hybridMultilevel"/>
    <w:tmpl w:val="45D204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1FB"/>
    <w:rsid w:val="00072327"/>
    <w:rsid w:val="000E1C80"/>
    <w:rsid w:val="000E21FB"/>
    <w:rsid w:val="00200B0A"/>
    <w:rsid w:val="002B4DB0"/>
    <w:rsid w:val="002F2DB9"/>
    <w:rsid w:val="00400B58"/>
    <w:rsid w:val="00417824"/>
    <w:rsid w:val="00425D56"/>
    <w:rsid w:val="00487666"/>
    <w:rsid w:val="0049533C"/>
    <w:rsid w:val="004D2B49"/>
    <w:rsid w:val="00535450"/>
    <w:rsid w:val="005533D4"/>
    <w:rsid w:val="005A113B"/>
    <w:rsid w:val="005B4476"/>
    <w:rsid w:val="005F0A4A"/>
    <w:rsid w:val="006213AA"/>
    <w:rsid w:val="006514C6"/>
    <w:rsid w:val="00652B15"/>
    <w:rsid w:val="006C1C77"/>
    <w:rsid w:val="006C225A"/>
    <w:rsid w:val="006E41DC"/>
    <w:rsid w:val="007020B0"/>
    <w:rsid w:val="00791697"/>
    <w:rsid w:val="007D7B96"/>
    <w:rsid w:val="008E0548"/>
    <w:rsid w:val="009A5A61"/>
    <w:rsid w:val="00A54746"/>
    <w:rsid w:val="00A60F42"/>
    <w:rsid w:val="00A966B0"/>
    <w:rsid w:val="00B25C49"/>
    <w:rsid w:val="00B524DD"/>
    <w:rsid w:val="00B73048"/>
    <w:rsid w:val="00BB1FE7"/>
    <w:rsid w:val="00CC6B19"/>
    <w:rsid w:val="00D041A2"/>
    <w:rsid w:val="00D6278B"/>
    <w:rsid w:val="00DB19D7"/>
    <w:rsid w:val="00DB3B69"/>
    <w:rsid w:val="00E402D4"/>
    <w:rsid w:val="00E7391C"/>
    <w:rsid w:val="00F646C5"/>
    <w:rsid w:val="00F92EA3"/>
    <w:rsid w:val="00F941C2"/>
    <w:rsid w:val="00F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E21FB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nadpis">
    <w:name w:val="Podnadpis"/>
    <w:basedOn w:val="Normln"/>
    <w:next w:val="Normln"/>
    <w:link w:val="PodnadpisChar"/>
    <w:qFormat/>
    <w:rsid w:val="000E21FB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0E21FB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0E21FB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0E21FB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0E21FB"/>
    <w:pPr>
      <w:keepNext/>
      <w:keepLines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0E21FB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styleId="Seznamsodrkami">
    <w:name w:val="List Bullet"/>
    <w:basedOn w:val="Normln"/>
    <w:rsid w:val="00791697"/>
    <w:pPr>
      <w:numPr>
        <w:numId w:val="3"/>
      </w:numPr>
    </w:pPr>
  </w:style>
  <w:style w:type="character" w:styleId="Hypertextovodkaz">
    <w:name w:val="Hyperlink"/>
    <w:rsid w:val="00200B0A"/>
    <w:rPr>
      <w:color w:val="0000FF"/>
      <w:u w:val="single"/>
    </w:rPr>
  </w:style>
  <w:style w:type="character" w:styleId="Sledovanodkaz">
    <w:name w:val="FollowedHyperlink"/>
    <w:rsid w:val="00CC6B1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zpi.gov.cz/lstDoc.aspx?nid=11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804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Národní vinařské centrum</Company>
  <LinksUpToDate>false</LinksUpToDate>
  <CharactersWithSpaces>5541</CharactersWithSpaces>
  <SharedDoc>false</SharedDoc>
  <HLinks>
    <vt:vector size="12" baseType="variant">
      <vt:variant>
        <vt:i4>5767187</vt:i4>
      </vt:variant>
      <vt:variant>
        <vt:i4>3</vt:i4>
      </vt:variant>
      <vt:variant>
        <vt:i4>0</vt:i4>
      </vt:variant>
      <vt:variant>
        <vt:i4>5</vt:i4>
      </vt:variant>
      <vt:variant>
        <vt:lpwstr>http://www.szpi.gov.cz/lstDoc.aspx?nid=11428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Marek Babisz</dc:creator>
  <cp:lastModifiedBy>Babisz</cp:lastModifiedBy>
  <cp:revision>2</cp:revision>
  <cp:lastPrinted>2013-08-09T12:09:00Z</cp:lastPrinted>
  <dcterms:created xsi:type="dcterms:W3CDTF">2022-09-10T17:22:00Z</dcterms:created>
  <dcterms:modified xsi:type="dcterms:W3CDTF">2022-09-10T17:22:00Z</dcterms:modified>
</cp:coreProperties>
</file>