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368F" w14:textId="77777777" w:rsidR="00196916" w:rsidRPr="00196916" w:rsidRDefault="00196916">
      <w:pPr>
        <w:rPr>
          <w:rFonts w:ascii="Arial" w:hAnsi="Arial" w:cs="Arial"/>
          <w:color w:val="0000FF"/>
          <w:sz w:val="22"/>
          <w:szCs w:val="22"/>
        </w:rPr>
      </w:pPr>
    </w:p>
    <w:p w14:paraId="4E700C4D" w14:textId="77777777" w:rsidR="00811F18" w:rsidRPr="0074501B" w:rsidRDefault="00811F18" w:rsidP="00196916">
      <w:pPr>
        <w:jc w:val="center"/>
        <w:rPr>
          <w:rFonts w:ascii="Garamond" w:hAnsi="Garamond" w:cs="Arial"/>
          <w:i/>
          <w:color w:val="333333"/>
        </w:rPr>
      </w:pPr>
    </w:p>
    <w:p w14:paraId="651D38C9" w14:textId="65664EDD" w:rsidR="00D53EE8" w:rsidRDefault="00D53EE8" w:rsidP="008E4C41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Moravská a česká vína bod</w:t>
      </w:r>
      <w:r w:rsidR="00D75FE6">
        <w:rPr>
          <w:rFonts w:ascii="Calibri" w:hAnsi="Calibri" w:cs="Calibri"/>
          <w:b/>
          <w:sz w:val="36"/>
          <w:szCs w:val="36"/>
        </w:rPr>
        <w:t>ovala</w:t>
      </w:r>
      <w:r>
        <w:rPr>
          <w:rFonts w:ascii="Calibri" w:hAnsi="Calibri" w:cs="Calibri"/>
          <w:b/>
          <w:sz w:val="36"/>
          <w:szCs w:val="36"/>
        </w:rPr>
        <w:t xml:space="preserve"> </w:t>
      </w:r>
    </w:p>
    <w:p w14:paraId="5D565B89" w14:textId="17CE6C4B" w:rsidR="00A80620" w:rsidRPr="00EF5C6F" w:rsidRDefault="00D53EE8" w:rsidP="008E4C41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v německy mluvících zemích</w:t>
      </w:r>
    </w:p>
    <w:p w14:paraId="550286F0" w14:textId="77777777" w:rsidR="00A80620" w:rsidRPr="00EF5C6F" w:rsidRDefault="00A80620" w:rsidP="00A80620">
      <w:pPr>
        <w:rPr>
          <w:rFonts w:ascii="Calibri" w:hAnsi="Calibri" w:cs="Calibri"/>
          <w:b/>
          <w:sz w:val="22"/>
          <w:szCs w:val="22"/>
        </w:rPr>
      </w:pPr>
    </w:p>
    <w:p w14:paraId="5CFF8744" w14:textId="2AE092B2" w:rsidR="00A80620" w:rsidRPr="008E4AC6" w:rsidRDefault="00A80620" w:rsidP="00A80620">
      <w:pPr>
        <w:jc w:val="center"/>
        <w:rPr>
          <w:rFonts w:ascii="Calibri" w:hAnsi="Calibri" w:cs="Calibri"/>
          <w:i/>
        </w:rPr>
      </w:pPr>
      <w:r w:rsidRPr="008E4AC6">
        <w:rPr>
          <w:rFonts w:ascii="Calibri" w:hAnsi="Calibri" w:cs="Calibri"/>
          <w:i/>
        </w:rPr>
        <w:t xml:space="preserve">Tisková zpráva ze dne </w:t>
      </w:r>
      <w:r w:rsidR="00D53EE8">
        <w:rPr>
          <w:rFonts w:ascii="Calibri" w:hAnsi="Calibri" w:cs="Calibri"/>
          <w:i/>
        </w:rPr>
        <w:t>20</w:t>
      </w:r>
      <w:r w:rsidRPr="008E4AC6">
        <w:rPr>
          <w:rFonts w:ascii="Calibri" w:hAnsi="Calibri" w:cs="Calibri"/>
          <w:i/>
        </w:rPr>
        <w:t xml:space="preserve">. </w:t>
      </w:r>
      <w:r w:rsidR="00D53EE8">
        <w:rPr>
          <w:rFonts w:ascii="Calibri" w:hAnsi="Calibri" w:cs="Calibri"/>
          <w:i/>
        </w:rPr>
        <w:t>září</w:t>
      </w:r>
      <w:r w:rsidRPr="008E4AC6">
        <w:rPr>
          <w:rFonts w:ascii="Calibri" w:hAnsi="Calibri" w:cs="Calibri"/>
          <w:i/>
        </w:rPr>
        <w:t xml:space="preserve"> 20</w:t>
      </w:r>
      <w:r>
        <w:rPr>
          <w:rFonts w:ascii="Calibri" w:hAnsi="Calibri" w:cs="Calibri"/>
          <w:i/>
        </w:rPr>
        <w:t>2</w:t>
      </w:r>
      <w:r w:rsidR="00D861FB">
        <w:rPr>
          <w:rFonts w:ascii="Calibri" w:hAnsi="Calibri" w:cs="Calibri"/>
          <w:i/>
        </w:rPr>
        <w:t>2</w:t>
      </w:r>
    </w:p>
    <w:p w14:paraId="51F532FD" w14:textId="77777777" w:rsidR="00A80620" w:rsidRPr="00EF5C6F" w:rsidRDefault="00A80620" w:rsidP="00A80620">
      <w:pPr>
        <w:jc w:val="both"/>
        <w:rPr>
          <w:rFonts w:ascii="Calibri" w:hAnsi="Calibri" w:cs="Calibri"/>
          <w:i/>
          <w:sz w:val="22"/>
          <w:szCs w:val="22"/>
        </w:rPr>
      </w:pPr>
    </w:p>
    <w:p w14:paraId="35D38C35" w14:textId="5E5D35FD" w:rsidR="00D53EE8" w:rsidRDefault="00D53EE8" w:rsidP="00A8062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Začátek září přinesl radostné zprávy hned ze dvou mezinárodních soutěží vín. Moravská a česká vína zabodovala na letní části soutěže MUNDUS VINI v Německu, kde získala krásných 56 medailí. Ještě většího úspěchu </w:t>
      </w:r>
      <w:r w:rsidR="00E920BC">
        <w:rPr>
          <w:rFonts w:ascii="Calibri" w:hAnsi="Calibri" w:cs="Calibri"/>
          <w:b/>
        </w:rPr>
        <w:t xml:space="preserve">pak </w:t>
      </w:r>
      <w:r>
        <w:rPr>
          <w:rFonts w:ascii="Calibri" w:hAnsi="Calibri" w:cs="Calibri"/>
          <w:b/>
        </w:rPr>
        <w:t xml:space="preserve">zaznamenala na tradiční rakouské soutěži AWC </w:t>
      </w:r>
      <w:r w:rsidR="00AC6782">
        <w:rPr>
          <w:rFonts w:ascii="Calibri" w:hAnsi="Calibri" w:cs="Calibri"/>
          <w:b/>
        </w:rPr>
        <w:t>V</w:t>
      </w:r>
      <w:r>
        <w:rPr>
          <w:rFonts w:ascii="Calibri" w:hAnsi="Calibri" w:cs="Calibri"/>
          <w:b/>
        </w:rPr>
        <w:t xml:space="preserve">ienna, ze které si přiváží </w:t>
      </w:r>
      <w:r w:rsidR="00E920BC">
        <w:rPr>
          <w:rFonts w:ascii="Calibri" w:hAnsi="Calibri" w:cs="Calibri"/>
          <w:b/>
        </w:rPr>
        <w:t>neuvěřitelných 32</w:t>
      </w:r>
      <w:r w:rsidR="00753909">
        <w:rPr>
          <w:rFonts w:ascii="Calibri" w:hAnsi="Calibri" w:cs="Calibri"/>
          <w:b/>
        </w:rPr>
        <w:t>2</w:t>
      </w:r>
      <w:r w:rsidR="00E920BC">
        <w:rPr>
          <w:rFonts w:ascii="Calibri" w:hAnsi="Calibri" w:cs="Calibri"/>
          <w:b/>
        </w:rPr>
        <w:t xml:space="preserve"> medailí</w:t>
      </w:r>
      <w:r>
        <w:rPr>
          <w:rFonts w:ascii="Calibri" w:hAnsi="Calibri" w:cs="Calibri"/>
          <w:b/>
        </w:rPr>
        <w:t xml:space="preserve">. </w:t>
      </w:r>
      <w:r w:rsidR="00E920BC" w:rsidRPr="008E4AC6">
        <w:rPr>
          <w:rFonts w:ascii="Calibri" w:hAnsi="Calibri" w:cs="Calibri"/>
          <w:b/>
        </w:rPr>
        <w:t xml:space="preserve">Účast našich vinařů </w:t>
      </w:r>
      <w:r w:rsidR="00E920BC">
        <w:rPr>
          <w:rFonts w:ascii="Calibri" w:hAnsi="Calibri" w:cs="Calibri"/>
          <w:b/>
        </w:rPr>
        <w:t xml:space="preserve">na soutěžích </w:t>
      </w:r>
      <w:r w:rsidR="00E920BC" w:rsidRPr="008E4AC6">
        <w:rPr>
          <w:rFonts w:ascii="Calibri" w:hAnsi="Calibri" w:cs="Calibri"/>
          <w:b/>
        </w:rPr>
        <w:t>prob</w:t>
      </w:r>
      <w:r w:rsidR="00E920BC">
        <w:rPr>
          <w:rFonts w:ascii="Calibri" w:hAnsi="Calibri" w:cs="Calibri"/>
          <w:b/>
        </w:rPr>
        <w:t>íhá</w:t>
      </w:r>
      <w:r w:rsidR="00E920BC" w:rsidRPr="008E4AC6">
        <w:rPr>
          <w:rFonts w:ascii="Calibri" w:hAnsi="Calibri" w:cs="Calibri"/>
          <w:b/>
        </w:rPr>
        <w:t xml:space="preserve"> za finanční podpory Vinařského fondu a organizačního zajištění Národního vinařského centra.</w:t>
      </w:r>
    </w:p>
    <w:p w14:paraId="33F7A50B" w14:textId="77777777" w:rsidR="00A80620" w:rsidRPr="008E4AC6" w:rsidRDefault="00A80620" w:rsidP="00A80620">
      <w:pPr>
        <w:jc w:val="both"/>
        <w:rPr>
          <w:rFonts w:ascii="Calibri" w:hAnsi="Calibri" w:cs="Calibri"/>
          <w:bCs/>
        </w:rPr>
      </w:pPr>
    </w:p>
    <w:p w14:paraId="383D14FB" w14:textId="12236C0F" w:rsidR="007E48D0" w:rsidRPr="00215DDA" w:rsidRDefault="007E48D0" w:rsidP="007E48D0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Na 19. ročníku </w:t>
      </w:r>
      <w:r w:rsidR="001C6C47">
        <w:rPr>
          <w:rFonts w:ascii="Calibri" w:hAnsi="Calibri" w:cs="Calibri"/>
          <w:bCs/>
        </w:rPr>
        <w:t>prestižní</w:t>
      </w:r>
      <w:r w:rsidR="00D75FE6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mezinárodní soutěže vín </w:t>
      </w:r>
      <w:r w:rsidRPr="008D4846">
        <w:rPr>
          <w:rFonts w:ascii="Calibri" w:hAnsi="Calibri" w:cs="Calibri"/>
          <w:b/>
        </w:rPr>
        <w:t>AWC Vienna</w:t>
      </w:r>
      <w:r>
        <w:rPr>
          <w:rFonts w:ascii="Calibri" w:hAnsi="Calibri" w:cs="Calibri"/>
          <w:bCs/>
        </w:rPr>
        <w:t xml:space="preserve"> </w:t>
      </w:r>
      <w:r w:rsidR="00D75FE6">
        <w:rPr>
          <w:rFonts w:ascii="Calibri" w:hAnsi="Calibri" w:cs="Calibri"/>
          <w:bCs/>
        </w:rPr>
        <w:t>byla</w:t>
      </w:r>
      <w:r>
        <w:rPr>
          <w:rFonts w:ascii="Calibri" w:hAnsi="Calibri" w:cs="Calibri"/>
          <w:bCs/>
        </w:rPr>
        <w:t xml:space="preserve"> moravská a česká vína </w:t>
      </w:r>
      <w:r w:rsidR="00D75FE6">
        <w:rPr>
          <w:rFonts w:ascii="Calibri" w:hAnsi="Calibri" w:cs="Calibri"/>
          <w:bCs/>
        </w:rPr>
        <w:t xml:space="preserve">oceněna </w:t>
      </w:r>
      <w:r>
        <w:rPr>
          <w:rFonts w:ascii="Calibri" w:hAnsi="Calibri" w:cs="Calibri"/>
          <w:bCs/>
        </w:rPr>
        <w:t>úctyhodný</w:t>
      </w:r>
      <w:r w:rsidR="00D75FE6">
        <w:rPr>
          <w:rFonts w:ascii="Calibri" w:hAnsi="Calibri" w:cs="Calibri"/>
          <w:bCs/>
        </w:rPr>
        <w:t>mi</w:t>
      </w:r>
      <w:r>
        <w:rPr>
          <w:rFonts w:ascii="Calibri" w:hAnsi="Calibri" w:cs="Calibri"/>
          <w:bCs/>
        </w:rPr>
        <w:t xml:space="preserve"> 72 zlatý</w:t>
      </w:r>
      <w:r w:rsidR="00D75FE6">
        <w:rPr>
          <w:rFonts w:ascii="Calibri" w:hAnsi="Calibri" w:cs="Calibri"/>
          <w:bCs/>
        </w:rPr>
        <w:t>mi</w:t>
      </w:r>
      <w:r>
        <w:rPr>
          <w:rFonts w:ascii="Calibri" w:hAnsi="Calibri" w:cs="Calibri"/>
          <w:bCs/>
        </w:rPr>
        <w:t xml:space="preserve"> a 25</w:t>
      </w:r>
      <w:r w:rsidR="00753909">
        <w:rPr>
          <w:rFonts w:ascii="Calibri" w:hAnsi="Calibri" w:cs="Calibri"/>
          <w:bCs/>
        </w:rPr>
        <w:t>0</w:t>
      </w:r>
      <w:r>
        <w:rPr>
          <w:rFonts w:ascii="Calibri" w:hAnsi="Calibri" w:cs="Calibri"/>
          <w:bCs/>
        </w:rPr>
        <w:t xml:space="preserve"> stříbrný</w:t>
      </w:r>
      <w:r w:rsidR="00D75FE6">
        <w:rPr>
          <w:rFonts w:ascii="Calibri" w:hAnsi="Calibri" w:cs="Calibri"/>
          <w:bCs/>
        </w:rPr>
        <w:t>mi</w:t>
      </w:r>
      <w:r>
        <w:rPr>
          <w:rFonts w:ascii="Calibri" w:hAnsi="Calibri" w:cs="Calibri"/>
          <w:bCs/>
        </w:rPr>
        <w:t xml:space="preserve"> medail</w:t>
      </w:r>
      <w:r w:rsidR="00D75FE6">
        <w:rPr>
          <w:rFonts w:ascii="Calibri" w:hAnsi="Calibri" w:cs="Calibri"/>
          <w:bCs/>
        </w:rPr>
        <w:t>emi</w:t>
      </w:r>
      <w:r>
        <w:rPr>
          <w:rFonts w:ascii="Calibri" w:hAnsi="Calibri" w:cs="Calibri"/>
          <w:bCs/>
        </w:rPr>
        <w:t>. Včetně 6</w:t>
      </w:r>
      <w:r w:rsidR="00753909">
        <w:rPr>
          <w:rFonts w:ascii="Calibri" w:hAnsi="Calibri" w:cs="Calibri"/>
          <w:bCs/>
        </w:rPr>
        <w:t>6</w:t>
      </w:r>
      <w:r>
        <w:rPr>
          <w:rFonts w:ascii="Calibri" w:hAnsi="Calibri" w:cs="Calibri"/>
          <w:bCs/>
        </w:rPr>
        <w:t xml:space="preserve"> „</w:t>
      </w:r>
      <w:r w:rsidRPr="00215DDA">
        <w:rPr>
          <w:rFonts w:ascii="Calibri" w:hAnsi="Calibri" w:cs="Calibri"/>
          <w:bCs/>
        </w:rPr>
        <w:t>Ocenění dobré kvality</w:t>
      </w:r>
      <w:r>
        <w:rPr>
          <w:rFonts w:ascii="Calibri" w:hAnsi="Calibri" w:cs="Calibri"/>
          <w:bCs/>
        </w:rPr>
        <w:t>“</w:t>
      </w:r>
      <w:r w:rsidRPr="00215DDA">
        <w:rPr>
          <w:rFonts w:ascii="Calibri" w:hAnsi="Calibri" w:cs="Calibri"/>
          <w:bCs/>
        </w:rPr>
        <w:t xml:space="preserve"> („Seal of Approval“)</w:t>
      </w:r>
      <w:r>
        <w:rPr>
          <w:rFonts w:ascii="Calibri" w:hAnsi="Calibri" w:cs="Calibri"/>
          <w:bCs/>
        </w:rPr>
        <w:t xml:space="preserve"> se jedná celkově o </w:t>
      </w:r>
      <w:r w:rsidR="001963D5">
        <w:rPr>
          <w:rFonts w:ascii="Calibri" w:hAnsi="Calibri" w:cs="Calibri"/>
          <w:bCs/>
        </w:rPr>
        <w:t>3</w:t>
      </w:r>
      <w:r w:rsidR="00753909">
        <w:rPr>
          <w:rFonts w:ascii="Calibri" w:hAnsi="Calibri" w:cs="Calibri"/>
          <w:bCs/>
        </w:rPr>
        <w:t>88</w:t>
      </w:r>
      <w:r>
        <w:rPr>
          <w:rFonts w:ascii="Calibri" w:hAnsi="Calibri" w:cs="Calibri"/>
          <w:bCs/>
        </w:rPr>
        <w:t xml:space="preserve"> </w:t>
      </w:r>
      <w:r w:rsidR="00D75FE6">
        <w:rPr>
          <w:rFonts w:ascii="Calibri" w:hAnsi="Calibri" w:cs="Calibri"/>
          <w:bCs/>
        </w:rPr>
        <w:t xml:space="preserve">ocenění </w:t>
      </w:r>
      <w:r w:rsidR="001963D5">
        <w:rPr>
          <w:rFonts w:ascii="Calibri" w:hAnsi="Calibri" w:cs="Calibri"/>
          <w:bCs/>
        </w:rPr>
        <w:t>pro</w:t>
      </w:r>
      <w:r w:rsidR="00D75FE6">
        <w:rPr>
          <w:rFonts w:ascii="Calibri" w:hAnsi="Calibri" w:cs="Calibri"/>
          <w:bCs/>
        </w:rPr>
        <w:t xml:space="preserve"> </w:t>
      </w:r>
      <w:r w:rsidR="00FD3D83" w:rsidRPr="00FD3D83">
        <w:rPr>
          <w:rFonts w:ascii="Calibri" w:hAnsi="Calibri" w:cs="Calibri"/>
          <w:bCs/>
        </w:rPr>
        <w:t>4</w:t>
      </w:r>
      <w:r w:rsidR="00F14D9A">
        <w:rPr>
          <w:rFonts w:ascii="Calibri" w:hAnsi="Calibri" w:cs="Calibri"/>
          <w:bCs/>
        </w:rPr>
        <w:t>1</w:t>
      </w:r>
      <w:r w:rsidR="00783178">
        <w:rPr>
          <w:rFonts w:ascii="Calibri" w:hAnsi="Calibri" w:cs="Calibri"/>
          <w:bCs/>
        </w:rPr>
        <w:t>5</w:t>
      </w:r>
      <w:r w:rsidR="00D75FE6" w:rsidRPr="00FD3D83">
        <w:rPr>
          <w:rFonts w:ascii="Calibri" w:hAnsi="Calibri" w:cs="Calibri"/>
          <w:bCs/>
        </w:rPr>
        <w:t xml:space="preserve"> přihlášených vín</w:t>
      </w:r>
      <w:r w:rsidR="00D75FE6">
        <w:rPr>
          <w:rFonts w:ascii="Calibri" w:hAnsi="Calibri" w:cs="Calibri"/>
          <w:bCs/>
        </w:rPr>
        <w:t xml:space="preserve"> z Moravy a Čech</w:t>
      </w:r>
      <w:r>
        <w:rPr>
          <w:rFonts w:ascii="Calibri" w:hAnsi="Calibri" w:cs="Calibri"/>
          <w:bCs/>
        </w:rPr>
        <w:t xml:space="preserve">. Nejvíce se dařilo se ziskem 4 zlatých medailí shodně vinařstvím Volařík, Zámečník, </w:t>
      </w:r>
      <w:r w:rsidRPr="008378CD">
        <w:rPr>
          <w:rFonts w:ascii="Calibri" w:hAnsi="Calibri" w:cs="Calibri"/>
          <w:bCs/>
        </w:rPr>
        <w:t>Vinné Sklepy Skalák</w:t>
      </w:r>
      <w:r>
        <w:rPr>
          <w:rFonts w:ascii="Calibri" w:hAnsi="Calibri" w:cs="Calibri"/>
          <w:bCs/>
        </w:rPr>
        <w:t xml:space="preserve">, Vican rodinné vinařství a </w:t>
      </w:r>
      <w:r w:rsidRPr="008378CD">
        <w:rPr>
          <w:rFonts w:ascii="Calibri" w:hAnsi="Calibri" w:cs="Calibri"/>
          <w:bCs/>
        </w:rPr>
        <w:t>Víno Náprava</w:t>
      </w:r>
      <w:r>
        <w:rPr>
          <w:rFonts w:ascii="Calibri" w:hAnsi="Calibri" w:cs="Calibri"/>
          <w:bCs/>
        </w:rPr>
        <w:t xml:space="preserve">. Největšího celkového počtu medailí (16) dosáhlo vinařství </w:t>
      </w:r>
      <w:r w:rsidRPr="008378CD">
        <w:rPr>
          <w:rFonts w:ascii="Calibri" w:hAnsi="Calibri" w:cs="Calibri"/>
          <w:bCs/>
        </w:rPr>
        <w:t>Vinselekt Michlovský</w:t>
      </w:r>
      <w:r>
        <w:rPr>
          <w:rFonts w:ascii="Calibri" w:hAnsi="Calibri" w:cs="Calibri"/>
          <w:bCs/>
        </w:rPr>
        <w:t>.</w:t>
      </w:r>
    </w:p>
    <w:p w14:paraId="1A5ABF25" w14:textId="77777777" w:rsidR="007E48D0" w:rsidRPr="00C114FF" w:rsidRDefault="007E48D0" w:rsidP="007E48D0">
      <w:pPr>
        <w:jc w:val="both"/>
        <w:rPr>
          <w:rFonts w:ascii="Calibri" w:hAnsi="Calibri" w:cs="Calibri"/>
          <w:bCs/>
        </w:rPr>
      </w:pPr>
    </w:p>
    <w:p w14:paraId="3FB9068D" w14:textId="2ED39962" w:rsidR="007E48D0" w:rsidRDefault="007E48D0" w:rsidP="007E48D0">
      <w:pPr>
        <w:jc w:val="both"/>
        <w:rPr>
          <w:rFonts w:ascii="Calibri" w:hAnsi="Calibri" w:cs="Calibri"/>
          <w:bCs/>
        </w:rPr>
      </w:pPr>
      <w:r w:rsidRPr="00AC364B">
        <w:rPr>
          <w:rFonts w:ascii="Calibri" w:hAnsi="Calibri" w:cs="Calibri"/>
          <w:bCs/>
          <w:i/>
          <w:iCs/>
        </w:rPr>
        <w:t>„</w:t>
      </w:r>
      <w:r w:rsidR="008029F7" w:rsidRPr="008029F7">
        <w:rPr>
          <w:rFonts w:ascii="Calibri" w:hAnsi="Calibri" w:cs="Calibri"/>
          <w:bCs/>
          <w:i/>
          <w:iCs/>
        </w:rPr>
        <w:t xml:space="preserve">V pracovně nejnabitějším období začínající sklizně hroznů potěší </w:t>
      </w:r>
      <w:r w:rsidR="00A34CB4">
        <w:rPr>
          <w:rFonts w:ascii="Calibri" w:hAnsi="Calibri" w:cs="Calibri"/>
          <w:bCs/>
          <w:i/>
          <w:iCs/>
        </w:rPr>
        <w:t xml:space="preserve">skvělé </w:t>
      </w:r>
      <w:r w:rsidR="008029F7" w:rsidRPr="008029F7">
        <w:rPr>
          <w:rFonts w:ascii="Calibri" w:hAnsi="Calibri" w:cs="Calibri"/>
          <w:bCs/>
          <w:i/>
          <w:iCs/>
        </w:rPr>
        <w:t>výsledky na mezinárodních soutěžích</w:t>
      </w:r>
      <w:r w:rsidR="008029F7">
        <w:rPr>
          <w:rFonts w:ascii="Calibri" w:hAnsi="Calibri" w:cs="Calibri"/>
          <w:bCs/>
          <w:i/>
          <w:iCs/>
        </w:rPr>
        <w:t xml:space="preserve">, které </w:t>
      </w:r>
      <w:r>
        <w:rPr>
          <w:rFonts w:ascii="Calibri" w:hAnsi="Calibri" w:cs="Calibri"/>
          <w:bCs/>
          <w:i/>
          <w:iCs/>
        </w:rPr>
        <w:t>re</w:t>
      </w:r>
      <w:r w:rsidR="00D75FE6">
        <w:rPr>
          <w:rFonts w:ascii="Calibri" w:hAnsi="Calibri" w:cs="Calibri"/>
          <w:bCs/>
          <w:i/>
          <w:iCs/>
        </w:rPr>
        <w:t xml:space="preserve">prezentují </w:t>
      </w:r>
      <w:r>
        <w:rPr>
          <w:rFonts w:ascii="Calibri" w:hAnsi="Calibri" w:cs="Calibri"/>
          <w:bCs/>
          <w:i/>
          <w:iCs/>
        </w:rPr>
        <w:t>vinařství naší zem</w:t>
      </w:r>
      <w:r w:rsidR="00D75FE6">
        <w:rPr>
          <w:rFonts w:ascii="Calibri" w:hAnsi="Calibri" w:cs="Calibri"/>
          <w:bCs/>
          <w:i/>
          <w:iCs/>
        </w:rPr>
        <w:t>ě</w:t>
      </w:r>
      <w:r>
        <w:rPr>
          <w:rFonts w:ascii="Calibri" w:hAnsi="Calibri" w:cs="Calibri"/>
          <w:bCs/>
          <w:i/>
          <w:iCs/>
        </w:rPr>
        <w:t>,</w:t>
      </w:r>
      <w:r w:rsidRPr="00AC364B">
        <w:rPr>
          <w:rFonts w:ascii="Calibri" w:hAnsi="Calibri" w:cs="Calibri"/>
          <w:bCs/>
          <w:i/>
          <w:iCs/>
        </w:rPr>
        <w:t>“</w:t>
      </w:r>
      <w:r w:rsidRPr="00AC364B">
        <w:rPr>
          <w:rFonts w:ascii="Calibri" w:hAnsi="Calibri" w:cs="Calibri"/>
          <w:bCs/>
        </w:rPr>
        <w:t xml:space="preserve"> komentoval </w:t>
      </w:r>
      <w:r w:rsidRPr="00C114FF">
        <w:rPr>
          <w:rFonts w:ascii="Calibri" w:hAnsi="Calibri" w:cs="Calibri"/>
          <w:bCs/>
        </w:rPr>
        <w:t>úspěch vinařů Ing. Pavel Krška, ředitel Národního vinařského centra</w:t>
      </w:r>
      <w:r w:rsidRPr="00AC364B">
        <w:rPr>
          <w:rFonts w:ascii="Calibri" w:hAnsi="Calibri" w:cs="Calibri"/>
          <w:bCs/>
        </w:rPr>
        <w:t>, které účast našich vín na soutěž</w:t>
      </w:r>
      <w:r w:rsidR="00B83708">
        <w:rPr>
          <w:rFonts w:ascii="Calibri" w:hAnsi="Calibri" w:cs="Calibri"/>
          <w:bCs/>
        </w:rPr>
        <w:t>ích</w:t>
      </w:r>
      <w:r w:rsidRPr="00AC364B">
        <w:rPr>
          <w:rFonts w:ascii="Calibri" w:hAnsi="Calibri" w:cs="Calibri"/>
          <w:bCs/>
        </w:rPr>
        <w:t xml:space="preserve"> zajišť</w:t>
      </w:r>
      <w:r w:rsidR="00B83708">
        <w:rPr>
          <w:rFonts w:ascii="Calibri" w:hAnsi="Calibri" w:cs="Calibri"/>
          <w:bCs/>
        </w:rPr>
        <w:t>uje</w:t>
      </w:r>
      <w:r w:rsidR="00F14AD9">
        <w:rPr>
          <w:rFonts w:ascii="Calibri" w:hAnsi="Calibri" w:cs="Calibri"/>
          <w:bCs/>
        </w:rPr>
        <w:t xml:space="preserve"> a dodal: </w:t>
      </w:r>
      <w:r w:rsidR="00F14AD9" w:rsidRPr="00F14AD9">
        <w:rPr>
          <w:rFonts w:ascii="Calibri" w:hAnsi="Calibri" w:cs="Calibri"/>
          <w:bCs/>
          <w:i/>
          <w:iCs/>
        </w:rPr>
        <w:t xml:space="preserve">„obě soutěže přinášejí </w:t>
      </w:r>
      <w:r w:rsidR="00035B6F">
        <w:rPr>
          <w:rFonts w:ascii="Calibri" w:hAnsi="Calibri" w:cs="Calibri"/>
          <w:bCs/>
          <w:i/>
          <w:iCs/>
        </w:rPr>
        <w:t>především</w:t>
      </w:r>
      <w:r w:rsidR="00F14AD9" w:rsidRPr="00F14AD9">
        <w:rPr>
          <w:rFonts w:ascii="Calibri" w:hAnsi="Calibri" w:cs="Calibri"/>
          <w:bCs/>
          <w:i/>
          <w:iCs/>
        </w:rPr>
        <w:t xml:space="preserve"> srovnání vín a vinařských stylů typických právě pro náš středoevropský region a naši vinaři prostřednictvím svých vín opět ukázali, že </w:t>
      </w:r>
      <w:r w:rsidR="00035B6F">
        <w:rPr>
          <w:rFonts w:ascii="Calibri" w:hAnsi="Calibri" w:cs="Calibri"/>
          <w:bCs/>
          <w:i/>
          <w:iCs/>
        </w:rPr>
        <w:t>zde</w:t>
      </w:r>
      <w:r w:rsidR="00F14AD9" w:rsidRPr="00F14AD9">
        <w:rPr>
          <w:rFonts w:ascii="Calibri" w:hAnsi="Calibri" w:cs="Calibri"/>
          <w:bCs/>
          <w:i/>
          <w:iCs/>
        </w:rPr>
        <w:t xml:space="preserve"> patří mezi ta vůbec nejlepší.“</w:t>
      </w:r>
    </w:p>
    <w:p w14:paraId="5F66CDDE" w14:textId="77777777" w:rsidR="007E48D0" w:rsidRDefault="007E48D0" w:rsidP="007E48D0">
      <w:pPr>
        <w:jc w:val="both"/>
        <w:rPr>
          <w:rFonts w:ascii="Calibri" w:hAnsi="Calibri" w:cs="Calibri"/>
          <w:bCs/>
        </w:rPr>
      </w:pPr>
    </w:p>
    <w:p w14:paraId="3599AEAD" w14:textId="6BF561E2" w:rsidR="00837135" w:rsidRDefault="00C93D42" w:rsidP="00A80620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Největšího úspěchu na 31. ročníku soutěže </w:t>
      </w:r>
      <w:r w:rsidRPr="008D4846">
        <w:rPr>
          <w:rFonts w:ascii="Calibri" w:hAnsi="Calibri" w:cs="Calibri"/>
          <w:b/>
        </w:rPr>
        <w:t>MUNDUS VINI</w:t>
      </w:r>
      <w:r w:rsidRPr="00C93D42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dosáhlo </w:t>
      </w:r>
      <w:r w:rsidRPr="00C93D42">
        <w:rPr>
          <w:rFonts w:ascii="Calibri" w:hAnsi="Calibri" w:cs="Calibri"/>
          <w:bCs/>
        </w:rPr>
        <w:t xml:space="preserve">B\V Vinařství z moravských </w:t>
      </w:r>
      <w:r>
        <w:rPr>
          <w:rFonts w:ascii="Calibri" w:hAnsi="Calibri" w:cs="Calibri"/>
          <w:bCs/>
        </w:rPr>
        <w:t>Ratíškovic.</w:t>
      </w:r>
      <w:r w:rsidRPr="00C93D42">
        <w:rPr>
          <w:rFonts w:ascii="Calibri" w:hAnsi="Calibri" w:cs="Calibri"/>
          <w:bCs/>
        </w:rPr>
        <w:t xml:space="preserve"> </w:t>
      </w:r>
      <w:r w:rsidR="00E87B3F">
        <w:rPr>
          <w:rFonts w:ascii="Calibri" w:hAnsi="Calibri" w:cs="Calibri"/>
          <w:bCs/>
        </w:rPr>
        <w:t xml:space="preserve">Z celkového počtu </w:t>
      </w:r>
      <w:r>
        <w:rPr>
          <w:rFonts w:ascii="Calibri" w:hAnsi="Calibri" w:cs="Calibri"/>
          <w:bCs/>
        </w:rPr>
        <w:t>36</w:t>
      </w:r>
      <w:r w:rsidR="00E87B3F">
        <w:rPr>
          <w:rFonts w:ascii="Calibri" w:hAnsi="Calibri" w:cs="Calibri"/>
          <w:bCs/>
        </w:rPr>
        <w:t xml:space="preserve"> zlat</w:t>
      </w:r>
      <w:r>
        <w:rPr>
          <w:rFonts w:ascii="Calibri" w:hAnsi="Calibri" w:cs="Calibri"/>
          <w:bCs/>
        </w:rPr>
        <w:t>ých a 20</w:t>
      </w:r>
      <w:r w:rsidR="00E87B3F">
        <w:rPr>
          <w:rFonts w:ascii="Calibri" w:hAnsi="Calibri" w:cs="Calibri"/>
          <w:bCs/>
        </w:rPr>
        <w:t xml:space="preserve"> stříbrných</w:t>
      </w:r>
      <w:r>
        <w:rPr>
          <w:rFonts w:ascii="Calibri" w:hAnsi="Calibri" w:cs="Calibri"/>
          <w:bCs/>
        </w:rPr>
        <w:t xml:space="preserve"> medailí pro </w:t>
      </w:r>
      <w:r w:rsidR="00215DDA">
        <w:rPr>
          <w:rFonts w:ascii="Calibri" w:hAnsi="Calibri" w:cs="Calibri"/>
          <w:bCs/>
        </w:rPr>
        <w:t>vína z Česka</w:t>
      </w:r>
      <w:r>
        <w:rPr>
          <w:rFonts w:ascii="Calibri" w:hAnsi="Calibri" w:cs="Calibri"/>
          <w:bCs/>
        </w:rPr>
        <w:t xml:space="preserve"> si připsalo </w:t>
      </w:r>
      <w:r w:rsidR="008E1443">
        <w:rPr>
          <w:rFonts w:ascii="Calibri" w:hAnsi="Calibri" w:cs="Calibri"/>
          <w:bCs/>
        </w:rPr>
        <w:t xml:space="preserve">hned </w:t>
      </w:r>
      <w:r>
        <w:rPr>
          <w:rFonts w:ascii="Calibri" w:hAnsi="Calibri" w:cs="Calibri"/>
          <w:bCs/>
        </w:rPr>
        <w:t xml:space="preserve">18 zlatých a 13 stříbrných. Zároveň také získalo ocenění </w:t>
      </w:r>
      <w:r w:rsidRPr="00C93D42">
        <w:rPr>
          <w:rFonts w:ascii="Calibri" w:hAnsi="Calibri" w:cs="Calibri"/>
          <w:bCs/>
        </w:rPr>
        <w:t xml:space="preserve">"Best of Show Czech Republic”, tedy </w:t>
      </w:r>
      <w:r w:rsidR="00215DDA" w:rsidRPr="00C93D42">
        <w:rPr>
          <w:rFonts w:ascii="Calibri" w:hAnsi="Calibri" w:cs="Calibri"/>
          <w:bCs/>
        </w:rPr>
        <w:t>nejlepší víno</w:t>
      </w:r>
      <w:r w:rsidRPr="00C93D42">
        <w:rPr>
          <w:rFonts w:ascii="Calibri" w:hAnsi="Calibri" w:cs="Calibri"/>
          <w:bCs/>
        </w:rPr>
        <w:t xml:space="preserve"> z České </w:t>
      </w:r>
      <w:r w:rsidR="00215DDA" w:rsidRPr="00C93D42">
        <w:rPr>
          <w:rFonts w:ascii="Calibri" w:hAnsi="Calibri" w:cs="Calibri"/>
          <w:bCs/>
        </w:rPr>
        <w:t>republiky</w:t>
      </w:r>
      <w:r>
        <w:rPr>
          <w:rFonts w:ascii="Calibri" w:hAnsi="Calibri" w:cs="Calibri"/>
          <w:bCs/>
        </w:rPr>
        <w:t xml:space="preserve"> </w:t>
      </w:r>
      <w:r w:rsidR="00215DDA">
        <w:rPr>
          <w:rFonts w:ascii="Calibri" w:hAnsi="Calibri" w:cs="Calibri"/>
          <w:bCs/>
        </w:rPr>
        <w:t>za Ryzlink</w:t>
      </w:r>
      <w:r w:rsidRPr="00C93D42">
        <w:rPr>
          <w:rFonts w:ascii="Calibri" w:hAnsi="Calibri" w:cs="Calibri"/>
          <w:bCs/>
        </w:rPr>
        <w:t xml:space="preserve"> rýnský Reserva 2017</w:t>
      </w:r>
      <w:r>
        <w:rPr>
          <w:rFonts w:ascii="Calibri" w:hAnsi="Calibri" w:cs="Calibri"/>
          <w:bCs/>
        </w:rPr>
        <w:t>.</w:t>
      </w:r>
    </w:p>
    <w:p w14:paraId="5EF064DC" w14:textId="475A3EC9" w:rsidR="00215DDA" w:rsidRDefault="00215DDA" w:rsidP="00A80620">
      <w:pPr>
        <w:jc w:val="both"/>
        <w:rPr>
          <w:rFonts w:ascii="Calibri" w:hAnsi="Calibri" w:cs="Calibri"/>
          <w:bCs/>
        </w:rPr>
      </w:pPr>
    </w:p>
    <w:p w14:paraId="63639F65" w14:textId="6D23F3C9" w:rsidR="003F18BC" w:rsidRPr="00A95615" w:rsidRDefault="008D4846" w:rsidP="003F18BC">
      <w:pPr>
        <w:jc w:val="both"/>
        <w:rPr>
          <w:rFonts w:ascii="Calibri" w:hAnsi="Calibri" w:cs="Calibri"/>
          <w:szCs w:val="22"/>
        </w:rPr>
      </w:pPr>
      <w:r w:rsidRPr="008D4846">
        <w:rPr>
          <w:rFonts w:ascii="Calibri" w:hAnsi="Calibri" w:cs="Calibri"/>
        </w:rPr>
        <w:t xml:space="preserve">Na </w:t>
      </w:r>
      <w:r>
        <w:rPr>
          <w:rFonts w:ascii="Calibri" w:hAnsi="Calibri" w:cs="Calibri"/>
        </w:rPr>
        <w:t xml:space="preserve">soutěži </w:t>
      </w:r>
      <w:r w:rsidR="007E48D0" w:rsidRPr="008D4846">
        <w:rPr>
          <w:rFonts w:ascii="Calibri" w:hAnsi="Calibri" w:cs="Calibri"/>
          <w:b/>
        </w:rPr>
        <w:t>AWC Vienna</w:t>
      </w:r>
      <w:r w:rsidR="007E48D0" w:rsidRPr="003F18BC">
        <w:rPr>
          <w:rFonts w:ascii="Calibri" w:hAnsi="Calibri" w:cs="Calibri"/>
          <w:bCs/>
        </w:rPr>
        <w:t xml:space="preserve"> v</w:t>
      </w:r>
      <w:r w:rsidR="007E48D0" w:rsidRPr="008E4AC6">
        <w:rPr>
          <w:rFonts w:ascii="Calibri" w:hAnsi="Calibri" w:cs="Calibri"/>
        </w:rPr>
        <w:t xml:space="preserve"> letošním roce naši vinaři obstáli v konkurenci </w:t>
      </w:r>
      <w:r w:rsidR="007E48D0" w:rsidRPr="003F18BC">
        <w:rPr>
          <w:rFonts w:ascii="Calibri" w:hAnsi="Calibri" w:cs="Calibri"/>
        </w:rPr>
        <w:t>11 342 vín od 1 588 výrobců ze 43 zemí</w:t>
      </w:r>
      <w:r w:rsidR="007E48D0" w:rsidRPr="008E4AC6">
        <w:rPr>
          <w:rFonts w:ascii="Calibri" w:hAnsi="Calibri" w:cs="Calibri"/>
        </w:rPr>
        <w:t>.</w:t>
      </w:r>
      <w:r w:rsidR="007E48D0" w:rsidRPr="008E4AC6">
        <w:rPr>
          <w:rFonts w:ascii="Calibri" w:hAnsi="Calibri" w:cs="Calibri"/>
          <w:b/>
        </w:rPr>
        <w:t xml:space="preserve"> </w:t>
      </w:r>
      <w:r w:rsidR="007E48D0" w:rsidRPr="008E4AC6">
        <w:rPr>
          <w:rFonts w:ascii="Calibri" w:hAnsi="Calibri" w:cs="Calibri"/>
        </w:rPr>
        <w:t xml:space="preserve">Hodnocení soutěže se koná ve Vinařské škole v Klosterneuburgu a slavnostní vyhlášení proběhne ve výstavním paláci vídeňské radnice </w:t>
      </w:r>
      <w:r w:rsidR="007E48D0">
        <w:rPr>
          <w:rFonts w:ascii="Calibri" w:hAnsi="Calibri" w:cs="Calibri"/>
        </w:rPr>
        <w:t>30</w:t>
      </w:r>
      <w:r w:rsidR="007E48D0" w:rsidRPr="008E4AC6">
        <w:rPr>
          <w:rFonts w:ascii="Calibri" w:hAnsi="Calibri" w:cs="Calibri"/>
        </w:rPr>
        <w:t>. října 20</w:t>
      </w:r>
      <w:r w:rsidR="007E48D0">
        <w:rPr>
          <w:rFonts w:ascii="Calibri" w:hAnsi="Calibri" w:cs="Calibri"/>
        </w:rPr>
        <w:t>22</w:t>
      </w:r>
      <w:r w:rsidR="007E48D0" w:rsidRPr="008E4AC6">
        <w:rPr>
          <w:rFonts w:ascii="Calibri" w:hAnsi="Calibri" w:cs="Calibri"/>
        </w:rPr>
        <w:t>.</w:t>
      </w:r>
      <w:r w:rsidR="007E48D0">
        <w:rPr>
          <w:rFonts w:ascii="Calibri" w:hAnsi="Calibri" w:cs="Calibri"/>
        </w:rPr>
        <w:t xml:space="preserve"> Na </w:t>
      </w:r>
      <w:r w:rsidRPr="008D4846">
        <w:rPr>
          <w:rFonts w:ascii="Calibri" w:hAnsi="Calibri" w:cs="Calibri"/>
          <w:b/>
        </w:rPr>
        <w:t>MUNDUS VINI</w:t>
      </w:r>
      <w:r w:rsidRPr="008D4846">
        <w:rPr>
          <w:rFonts w:ascii="Calibri" w:hAnsi="Calibri" w:cs="Calibri"/>
        </w:rPr>
        <w:t xml:space="preserve"> </w:t>
      </w:r>
      <w:r w:rsidR="00316A02" w:rsidRPr="008D4846">
        <w:rPr>
          <w:rFonts w:ascii="Calibri" w:hAnsi="Calibri" w:cs="Calibri"/>
        </w:rPr>
        <w:t xml:space="preserve">chutnalo a hodnotilo </w:t>
      </w:r>
      <w:r w:rsidRPr="008D4846">
        <w:rPr>
          <w:rFonts w:ascii="Calibri" w:hAnsi="Calibri" w:cs="Calibri"/>
        </w:rPr>
        <w:t>1</w:t>
      </w:r>
      <w:r>
        <w:rPr>
          <w:rFonts w:ascii="Calibri" w:hAnsi="Calibri" w:cs="Calibri"/>
        </w:rPr>
        <w:t>30</w:t>
      </w:r>
      <w:r w:rsidRPr="008D4846">
        <w:rPr>
          <w:rFonts w:ascii="Calibri" w:hAnsi="Calibri" w:cs="Calibri"/>
        </w:rPr>
        <w:t xml:space="preserve"> vinařských odborníků v německém Neustadt an der Weinstrasse </w:t>
      </w:r>
      <w:r w:rsidR="00316A02">
        <w:rPr>
          <w:rFonts w:ascii="Calibri" w:hAnsi="Calibri" w:cs="Calibri"/>
        </w:rPr>
        <w:t>v</w:t>
      </w:r>
      <w:r w:rsidRPr="008D4846">
        <w:rPr>
          <w:rFonts w:ascii="Calibri" w:hAnsi="Calibri" w:cs="Calibri"/>
        </w:rPr>
        <w:t xml:space="preserve">íce než 4 </w:t>
      </w:r>
      <w:r w:rsidR="00316A02">
        <w:rPr>
          <w:rFonts w:ascii="Calibri" w:hAnsi="Calibri" w:cs="Calibri"/>
        </w:rPr>
        <w:t>000</w:t>
      </w:r>
      <w:r w:rsidRPr="008D4846">
        <w:rPr>
          <w:rFonts w:ascii="Calibri" w:hAnsi="Calibri" w:cs="Calibri"/>
        </w:rPr>
        <w:t xml:space="preserve"> vín z 3</w:t>
      </w:r>
      <w:r w:rsidR="00316A02">
        <w:rPr>
          <w:rFonts w:ascii="Calibri" w:hAnsi="Calibri" w:cs="Calibri"/>
        </w:rPr>
        <w:t>3</w:t>
      </w:r>
      <w:r w:rsidRPr="008D4846">
        <w:rPr>
          <w:rFonts w:ascii="Calibri" w:hAnsi="Calibri" w:cs="Calibri"/>
        </w:rPr>
        <w:t xml:space="preserve"> vinařských zemí světa</w:t>
      </w:r>
      <w:r w:rsidR="003F18BC">
        <w:rPr>
          <w:rFonts w:ascii="Calibri" w:hAnsi="Calibri" w:cs="Calibri"/>
        </w:rPr>
        <w:t xml:space="preserve">. Celkem bylo uděleno 23 velkých zlatých, 980 zlatých a 671 stříbrných medailí. </w:t>
      </w:r>
    </w:p>
    <w:p w14:paraId="60C246F0" w14:textId="7FE6C572" w:rsidR="007F61DB" w:rsidRDefault="007F61DB" w:rsidP="0011060F">
      <w:pPr>
        <w:jc w:val="both"/>
        <w:rPr>
          <w:rFonts w:ascii="Calibri" w:hAnsi="Calibri" w:cs="Calibri"/>
          <w:b/>
        </w:rPr>
      </w:pPr>
    </w:p>
    <w:p w14:paraId="6F8BE726" w14:textId="77777777" w:rsidR="00B83708" w:rsidRDefault="00B8370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45E2CB27" w14:textId="1E7E54E7" w:rsidR="00172135" w:rsidRPr="00614F00" w:rsidRDefault="00172135" w:rsidP="0011060F">
      <w:pPr>
        <w:jc w:val="both"/>
        <w:rPr>
          <w:rFonts w:ascii="Calibri" w:hAnsi="Calibri" w:cs="Calibri"/>
          <w:b/>
        </w:rPr>
      </w:pPr>
      <w:r w:rsidRPr="00614F00">
        <w:rPr>
          <w:rFonts w:ascii="Calibri" w:hAnsi="Calibri" w:cs="Calibri"/>
          <w:b/>
        </w:rPr>
        <w:lastRenderedPageBreak/>
        <w:t xml:space="preserve">Pro více informací, prosím, kontaktujte: </w:t>
      </w:r>
    </w:p>
    <w:p w14:paraId="20D4C8A5" w14:textId="3520C0CA" w:rsidR="00336355" w:rsidRPr="00336355" w:rsidRDefault="00336355" w:rsidP="00336355">
      <w:pPr>
        <w:rPr>
          <w:rFonts w:ascii="Calibri" w:hAnsi="Calibri" w:cs="Calibri"/>
        </w:rPr>
      </w:pPr>
      <w:r w:rsidRPr="00336355">
        <w:rPr>
          <w:rFonts w:ascii="Calibri" w:hAnsi="Calibri" w:cs="Calibri"/>
        </w:rPr>
        <w:t xml:space="preserve">Ing. </w:t>
      </w:r>
      <w:r w:rsidR="00E920BC">
        <w:rPr>
          <w:rFonts w:ascii="Calibri" w:hAnsi="Calibri" w:cs="Calibri"/>
        </w:rPr>
        <w:t>Pavel Krška</w:t>
      </w:r>
      <w:r w:rsidRPr="00336355">
        <w:rPr>
          <w:rFonts w:ascii="Calibri" w:hAnsi="Calibri" w:cs="Calibri"/>
        </w:rPr>
        <w:t xml:space="preserve">, </w:t>
      </w:r>
      <w:r w:rsidR="00E920BC">
        <w:rPr>
          <w:rFonts w:ascii="Calibri" w:hAnsi="Calibri" w:cs="Calibri"/>
        </w:rPr>
        <w:t>ředitel</w:t>
      </w:r>
      <w:r w:rsidRPr="00336355">
        <w:rPr>
          <w:rFonts w:ascii="Calibri" w:hAnsi="Calibri" w:cs="Calibri"/>
        </w:rPr>
        <w:t xml:space="preserve"> Národního vinařského centra</w:t>
      </w:r>
    </w:p>
    <w:p w14:paraId="1E222BD3" w14:textId="7A2780C2" w:rsidR="00336355" w:rsidRPr="00336355" w:rsidRDefault="00336355" w:rsidP="00336355">
      <w:pPr>
        <w:rPr>
          <w:rFonts w:ascii="Calibri" w:hAnsi="Calibri" w:cs="Calibri"/>
        </w:rPr>
      </w:pPr>
      <w:r w:rsidRPr="00336355">
        <w:rPr>
          <w:rFonts w:ascii="Calibri" w:hAnsi="Calibri" w:cs="Calibri"/>
        </w:rPr>
        <w:t xml:space="preserve">E-mail: </w:t>
      </w:r>
      <w:hyperlink r:id="rId7" w:history="1">
        <w:r w:rsidR="00E920BC" w:rsidRPr="00E920BC">
          <w:rPr>
            <w:rStyle w:val="Hypertextovodkaz"/>
            <w:rFonts w:asciiTheme="minorHAnsi" w:hAnsiTheme="minorHAnsi" w:cstheme="minorHAnsi"/>
          </w:rPr>
          <w:t>pavel.krska@vinarskecentrum.cz</w:t>
        </w:r>
      </w:hyperlink>
      <w:r w:rsidR="00E920BC">
        <w:t xml:space="preserve"> </w:t>
      </w:r>
      <w:r>
        <w:rPr>
          <w:rFonts w:ascii="Calibri" w:hAnsi="Calibri" w:cs="Calibri"/>
        </w:rPr>
        <w:t xml:space="preserve"> </w:t>
      </w:r>
      <w:r w:rsidRPr="00336355">
        <w:rPr>
          <w:rFonts w:ascii="Calibri" w:hAnsi="Calibri" w:cs="Calibri"/>
        </w:rPr>
        <w:t xml:space="preserve">                                    </w:t>
      </w:r>
    </w:p>
    <w:p w14:paraId="25AEE468" w14:textId="23D4DDC5" w:rsidR="007C4D6B" w:rsidRPr="00614F00" w:rsidRDefault="00336355" w:rsidP="00336355">
      <w:pPr>
        <w:rPr>
          <w:rFonts w:ascii="Calibri" w:hAnsi="Calibri" w:cs="Calibri"/>
        </w:rPr>
      </w:pPr>
      <w:r w:rsidRPr="00336355">
        <w:rPr>
          <w:rFonts w:ascii="Calibri" w:hAnsi="Calibri" w:cs="Calibri"/>
        </w:rPr>
        <w:t xml:space="preserve">Tel.:  </w:t>
      </w:r>
      <w:r w:rsidR="00E920BC" w:rsidRPr="00E920BC">
        <w:rPr>
          <w:rFonts w:ascii="Calibri" w:hAnsi="Calibri" w:cs="Calibri"/>
        </w:rPr>
        <w:t>+420 519 352 072, +420 721 414 575</w:t>
      </w:r>
    </w:p>
    <w:p w14:paraId="417D3622" w14:textId="77777777" w:rsidR="00172135" w:rsidRPr="00614F00" w:rsidRDefault="00172135" w:rsidP="0011060F">
      <w:pPr>
        <w:rPr>
          <w:rFonts w:ascii="Calibri" w:hAnsi="Calibri" w:cs="Calibri"/>
        </w:rPr>
      </w:pPr>
    </w:p>
    <w:p w14:paraId="7B9293B5" w14:textId="1A2E4907" w:rsidR="00614F00" w:rsidRPr="00614F00" w:rsidRDefault="00935E29" w:rsidP="00614F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Jiří Bažant</w:t>
      </w:r>
      <w:r w:rsidR="00614F00" w:rsidRPr="00614F00">
        <w:rPr>
          <w:rFonts w:ascii="Calibri" w:hAnsi="Calibri" w:cs="Calibri"/>
        </w:rPr>
        <w:t xml:space="preserve">, Omnimedia, s. r. o. </w:t>
      </w:r>
    </w:p>
    <w:p w14:paraId="41399365" w14:textId="75C87E94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E-mail: </w:t>
      </w:r>
      <w:hyperlink r:id="rId8" w:history="1">
        <w:r w:rsidR="00935E29" w:rsidRPr="000F4083">
          <w:rPr>
            <w:rStyle w:val="Hypertextovodkaz"/>
            <w:rFonts w:ascii="Calibri" w:hAnsi="Calibri" w:cs="Calibri"/>
          </w:rPr>
          <w:t>j.bazant@omnimedia.cz</w:t>
        </w:r>
      </w:hyperlink>
    </w:p>
    <w:p w14:paraId="58D86148" w14:textId="1342A956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>Tel.: +420</w:t>
      </w:r>
      <w:r w:rsidR="00935E29">
        <w:rPr>
          <w:rFonts w:ascii="Calibri" w:hAnsi="Calibri" w:cs="Calibri"/>
        </w:rPr>
        <w:t> 606 282</w:t>
      </w:r>
      <w:r w:rsidR="00944E75">
        <w:rPr>
          <w:rFonts w:ascii="Calibri" w:hAnsi="Calibri" w:cs="Calibri"/>
        </w:rPr>
        <w:t> </w:t>
      </w:r>
      <w:r w:rsidR="00935E29">
        <w:rPr>
          <w:rFonts w:ascii="Calibri" w:hAnsi="Calibri" w:cs="Calibri"/>
        </w:rPr>
        <w:t>673</w:t>
      </w:r>
    </w:p>
    <w:p w14:paraId="2CF611F7" w14:textId="77777777" w:rsidR="00944E75" w:rsidRDefault="00944E75" w:rsidP="002E72A0">
      <w:pPr>
        <w:rPr>
          <w:rFonts w:ascii="Calibri" w:hAnsi="Calibri" w:cs="Calibri"/>
          <w:b/>
          <w:szCs w:val="22"/>
        </w:rPr>
      </w:pPr>
    </w:p>
    <w:p w14:paraId="6822AEF8" w14:textId="7B678E3A" w:rsidR="00944E75" w:rsidRDefault="00935E29" w:rsidP="00251614">
      <w:pPr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szCs w:val="22"/>
        </w:rPr>
        <w:t xml:space="preserve">Více o </w:t>
      </w:r>
      <w:r w:rsidR="00E920BC">
        <w:rPr>
          <w:rFonts w:ascii="Calibri" w:hAnsi="Calibri" w:cs="Calibri"/>
          <w:b/>
          <w:szCs w:val="22"/>
        </w:rPr>
        <w:t xml:space="preserve">MUNDUS VINI </w:t>
      </w:r>
      <w:r w:rsidRPr="00AB06B0">
        <w:rPr>
          <w:rFonts w:ascii="Calibri" w:hAnsi="Calibri" w:cs="Calibri"/>
          <w:b/>
          <w:szCs w:val="22"/>
        </w:rPr>
        <w:t>na</w:t>
      </w:r>
      <w:r w:rsidRPr="00E920BC">
        <w:rPr>
          <w:rFonts w:asciiTheme="minorHAnsi" w:hAnsiTheme="minorHAnsi" w:cstheme="minorHAnsi"/>
          <w:b/>
          <w:bCs/>
          <w:szCs w:val="22"/>
        </w:rPr>
        <w:t xml:space="preserve"> </w:t>
      </w:r>
      <w:hyperlink r:id="rId9" w:history="1">
        <w:r w:rsidR="00E920BC" w:rsidRPr="00E920BC">
          <w:rPr>
            <w:rStyle w:val="Hypertextovodkaz"/>
            <w:rFonts w:asciiTheme="minorHAnsi" w:hAnsiTheme="minorHAnsi" w:cstheme="minorHAnsi"/>
            <w:b/>
            <w:bCs/>
          </w:rPr>
          <w:t>https://www.meininger.de/wein/verkostungen/mundus-vini</w:t>
        </w:r>
      </w:hyperlink>
      <w:r w:rsidR="00E920BC">
        <w:t xml:space="preserve"> </w:t>
      </w:r>
    </w:p>
    <w:p w14:paraId="18BE5672" w14:textId="1E377042" w:rsidR="00E920BC" w:rsidRDefault="00E920BC" w:rsidP="00B623C8">
      <w:pPr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szCs w:val="22"/>
        </w:rPr>
        <w:t xml:space="preserve">Více o AWC Wienna </w:t>
      </w:r>
      <w:r w:rsidRPr="00AB06B0">
        <w:rPr>
          <w:rFonts w:ascii="Calibri" w:hAnsi="Calibri" w:cs="Calibri"/>
          <w:b/>
          <w:szCs w:val="22"/>
        </w:rPr>
        <w:t>na</w:t>
      </w:r>
      <w:r>
        <w:rPr>
          <w:rFonts w:ascii="Calibri" w:hAnsi="Calibri" w:cs="Calibri"/>
          <w:b/>
          <w:szCs w:val="22"/>
        </w:rPr>
        <w:t xml:space="preserve"> </w:t>
      </w:r>
      <w:hyperlink r:id="rId10" w:history="1">
        <w:r w:rsidRPr="008B21E3">
          <w:rPr>
            <w:rStyle w:val="Hypertextovodkaz"/>
            <w:rFonts w:ascii="Calibri" w:hAnsi="Calibri" w:cs="Calibri"/>
            <w:b/>
            <w:szCs w:val="22"/>
          </w:rPr>
          <w:t>https://www.awc-vienna.at/en</w:t>
        </w:r>
      </w:hyperlink>
      <w:r>
        <w:rPr>
          <w:rFonts w:ascii="Calibri" w:hAnsi="Calibri" w:cs="Calibri"/>
          <w:b/>
          <w:szCs w:val="22"/>
        </w:rPr>
        <w:t xml:space="preserve"> </w:t>
      </w:r>
    </w:p>
    <w:p w14:paraId="193FC5BD" w14:textId="590715CD" w:rsidR="00251614" w:rsidRPr="008F33D8" w:rsidRDefault="00E920BC" w:rsidP="00B623C8">
      <w:r>
        <w:rPr>
          <w:rFonts w:ascii="Calibri" w:hAnsi="Calibri" w:cs="Calibri"/>
          <w:b/>
          <w:bCs/>
          <w:szCs w:val="22"/>
        </w:rPr>
        <w:t>O</w:t>
      </w:r>
      <w:r w:rsidR="00944E75">
        <w:rPr>
          <w:rFonts w:ascii="Calibri" w:hAnsi="Calibri" w:cs="Calibri"/>
          <w:b/>
          <w:bCs/>
          <w:szCs w:val="22"/>
        </w:rPr>
        <w:t xml:space="preserve"> našich vínech na </w:t>
      </w:r>
      <w:hyperlink r:id="rId11" w:history="1">
        <w:r w:rsidR="00935E29" w:rsidRPr="000F4083">
          <w:rPr>
            <w:rStyle w:val="Hypertextovodkaz"/>
            <w:rFonts w:ascii="Calibri" w:hAnsi="Calibri" w:cs="Calibri"/>
            <w:b/>
            <w:szCs w:val="22"/>
          </w:rPr>
          <w:t>www.vinazmoravyvinazcech.cz</w:t>
        </w:r>
      </w:hyperlink>
    </w:p>
    <w:sectPr w:rsidR="00251614" w:rsidRPr="008F33D8" w:rsidSect="00944E75">
      <w:head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B86EA" w14:textId="77777777" w:rsidR="003E6A1E" w:rsidRDefault="003E6A1E">
      <w:r>
        <w:separator/>
      </w:r>
    </w:p>
  </w:endnote>
  <w:endnote w:type="continuationSeparator" w:id="0">
    <w:p w14:paraId="2F750BEB" w14:textId="77777777" w:rsidR="003E6A1E" w:rsidRDefault="003E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B3A1C" w14:textId="77777777" w:rsidR="003E6A1E" w:rsidRDefault="003E6A1E">
      <w:r>
        <w:separator/>
      </w:r>
    </w:p>
  </w:footnote>
  <w:footnote w:type="continuationSeparator" w:id="0">
    <w:p w14:paraId="79C7AB38" w14:textId="77777777" w:rsidR="003E6A1E" w:rsidRDefault="003E6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3CFD" w14:textId="2A32D92C" w:rsidR="006D022F" w:rsidRDefault="00A80620" w:rsidP="00172135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2A3B34" wp14:editId="7BC22C4C">
          <wp:simplePos x="0" y="0"/>
          <wp:positionH relativeFrom="column">
            <wp:posOffset>-118745</wp:posOffset>
          </wp:positionH>
          <wp:positionV relativeFrom="paragraph">
            <wp:posOffset>-1905</wp:posOffset>
          </wp:positionV>
          <wp:extent cx="714375" cy="733425"/>
          <wp:effectExtent l="0" t="0" r="9525" b="9525"/>
          <wp:wrapTight wrapText="bothSides">
            <wp:wrapPolygon edited="0">
              <wp:start x="0" y="0"/>
              <wp:lineTo x="0" y="21319"/>
              <wp:lineTo x="21312" y="21319"/>
              <wp:lineTo x="21312" y="0"/>
              <wp:lineTo x="0" y="0"/>
            </wp:wrapPolygon>
          </wp:wrapTight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22F">
      <w:t xml:space="preserve">                                                                                                                 </w:t>
    </w:r>
    <w:r w:rsidR="00BF1785">
      <w:rPr>
        <w:noProof/>
      </w:rPr>
      <w:drawing>
        <wp:inline distT="0" distB="0" distL="0" distR="0" wp14:anchorId="2E94CD24" wp14:editId="733DECFA">
          <wp:extent cx="723900" cy="723900"/>
          <wp:effectExtent l="0" t="0" r="0" b="0"/>
          <wp:docPr id="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159E0"/>
    <w:multiLevelType w:val="hybridMultilevel"/>
    <w:tmpl w:val="8AC65A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94FE6"/>
    <w:multiLevelType w:val="hybridMultilevel"/>
    <w:tmpl w:val="C0DE9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871383">
    <w:abstractNumId w:val="0"/>
  </w:num>
  <w:num w:numId="2" w16cid:durableId="1054082445">
    <w:abstractNumId w:val="4"/>
  </w:num>
  <w:num w:numId="3" w16cid:durableId="1698041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9996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9364335">
    <w:abstractNumId w:val="1"/>
  </w:num>
  <w:num w:numId="6" w16cid:durableId="203644102">
    <w:abstractNumId w:val="5"/>
  </w:num>
  <w:num w:numId="7" w16cid:durableId="1878807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116DF"/>
    <w:rsid w:val="00012074"/>
    <w:rsid w:val="0001639A"/>
    <w:rsid w:val="0002756A"/>
    <w:rsid w:val="00027CC1"/>
    <w:rsid w:val="00031F46"/>
    <w:rsid w:val="00035B6F"/>
    <w:rsid w:val="0003616E"/>
    <w:rsid w:val="0006257B"/>
    <w:rsid w:val="00063F6C"/>
    <w:rsid w:val="00064964"/>
    <w:rsid w:val="0006702C"/>
    <w:rsid w:val="00075DEA"/>
    <w:rsid w:val="00076681"/>
    <w:rsid w:val="00084E23"/>
    <w:rsid w:val="00086F85"/>
    <w:rsid w:val="00095B16"/>
    <w:rsid w:val="000A7B64"/>
    <w:rsid w:val="000D5864"/>
    <w:rsid w:val="000E3F8D"/>
    <w:rsid w:val="000E6050"/>
    <w:rsid w:val="00103DE6"/>
    <w:rsid w:val="0011011B"/>
    <w:rsid w:val="0011060F"/>
    <w:rsid w:val="00124C05"/>
    <w:rsid w:val="00126C94"/>
    <w:rsid w:val="00135DE6"/>
    <w:rsid w:val="00137B65"/>
    <w:rsid w:val="00142FA7"/>
    <w:rsid w:val="00160944"/>
    <w:rsid w:val="001653C9"/>
    <w:rsid w:val="00172135"/>
    <w:rsid w:val="00193610"/>
    <w:rsid w:val="001963D5"/>
    <w:rsid w:val="001965C6"/>
    <w:rsid w:val="00196916"/>
    <w:rsid w:val="001A6DF4"/>
    <w:rsid w:val="001B1D94"/>
    <w:rsid w:val="001B4318"/>
    <w:rsid w:val="001C5D49"/>
    <w:rsid w:val="001C6C47"/>
    <w:rsid w:val="001D62EB"/>
    <w:rsid w:val="001D6EDC"/>
    <w:rsid w:val="002111B2"/>
    <w:rsid w:val="00215DDA"/>
    <w:rsid w:val="002231D5"/>
    <w:rsid w:val="002235D6"/>
    <w:rsid w:val="00226AF3"/>
    <w:rsid w:val="0023356E"/>
    <w:rsid w:val="00250244"/>
    <w:rsid w:val="00251614"/>
    <w:rsid w:val="00252EE3"/>
    <w:rsid w:val="002555F7"/>
    <w:rsid w:val="002631FB"/>
    <w:rsid w:val="00284B8E"/>
    <w:rsid w:val="002856AE"/>
    <w:rsid w:val="002909F7"/>
    <w:rsid w:val="0029444B"/>
    <w:rsid w:val="00294ABD"/>
    <w:rsid w:val="002964AF"/>
    <w:rsid w:val="002A5EAF"/>
    <w:rsid w:val="002B05E1"/>
    <w:rsid w:val="002B0900"/>
    <w:rsid w:val="002B5BB9"/>
    <w:rsid w:val="002C1637"/>
    <w:rsid w:val="002D05E7"/>
    <w:rsid w:val="002D2A67"/>
    <w:rsid w:val="002E72A0"/>
    <w:rsid w:val="002E7560"/>
    <w:rsid w:val="00300663"/>
    <w:rsid w:val="00316A02"/>
    <w:rsid w:val="003177E5"/>
    <w:rsid w:val="0032108D"/>
    <w:rsid w:val="00336355"/>
    <w:rsid w:val="0034354E"/>
    <w:rsid w:val="00343FC3"/>
    <w:rsid w:val="003458EC"/>
    <w:rsid w:val="0035045F"/>
    <w:rsid w:val="003516DC"/>
    <w:rsid w:val="00352BD3"/>
    <w:rsid w:val="00353D52"/>
    <w:rsid w:val="00364BA0"/>
    <w:rsid w:val="00376426"/>
    <w:rsid w:val="0038212D"/>
    <w:rsid w:val="00391163"/>
    <w:rsid w:val="003922ED"/>
    <w:rsid w:val="00397F21"/>
    <w:rsid w:val="003B73E2"/>
    <w:rsid w:val="003C0114"/>
    <w:rsid w:val="003C44BF"/>
    <w:rsid w:val="003C5769"/>
    <w:rsid w:val="003D0CCB"/>
    <w:rsid w:val="003D5F9D"/>
    <w:rsid w:val="003E073D"/>
    <w:rsid w:val="003E3238"/>
    <w:rsid w:val="003E6A1E"/>
    <w:rsid w:val="003E7CD1"/>
    <w:rsid w:val="003F12D8"/>
    <w:rsid w:val="003F18BC"/>
    <w:rsid w:val="00414A74"/>
    <w:rsid w:val="004152CD"/>
    <w:rsid w:val="00434EBE"/>
    <w:rsid w:val="00440EBC"/>
    <w:rsid w:val="00441CE0"/>
    <w:rsid w:val="004602FC"/>
    <w:rsid w:val="00462F12"/>
    <w:rsid w:val="004775C2"/>
    <w:rsid w:val="00492543"/>
    <w:rsid w:val="004932F2"/>
    <w:rsid w:val="00497382"/>
    <w:rsid w:val="004A611B"/>
    <w:rsid w:val="004B31CA"/>
    <w:rsid w:val="004D2A96"/>
    <w:rsid w:val="004E14F5"/>
    <w:rsid w:val="004E71BB"/>
    <w:rsid w:val="004F1F17"/>
    <w:rsid w:val="004F7E8E"/>
    <w:rsid w:val="00504868"/>
    <w:rsid w:val="00504FDE"/>
    <w:rsid w:val="0051304F"/>
    <w:rsid w:val="00516B3F"/>
    <w:rsid w:val="00520480"/>
    <w:rsid w:val="00520487"/>
    <w:rsid w:val="005217AE"/>
    <w:rsid w:val="00531972"/>
    <w:rsid w:val="00541CCB"/>
    <w:rsid w:val="00541ED5"/>
    <w:rsid w:val="0055499C"/>
    <w:rsid w:val="00562CEB"/>
    <w:rsid w:val="0056726D"/>
    <w:rsid w:val="005929F2"/>
    <w:rsid w:val="0059419F"/>
    <w:rsid w:val="005A1DAF"/>
    <w:rsid w:val="005B17CF"/>
    <w:rsid w:val="005B53AF"/>
    <w:rsid w:val="005C3F8C"/>
    <w:rsid w:val="005D6EC3"/>
    <w:rsid w:val="005E624F"/>
    <w:rsid w:val="006070BE"/>
    <w:rsid w:val="00612645"/>
    <w:rsid w:val="00614F00"/>
    <w:rsid w:val="0061731B"/>
    <w:rsid w:val="0062588B"/>
    <w:rsid w:val="00632E95"/>
    <w:rsid w:val="006530FB"/>
    <w:rsid w:val="00655014"/>
    <w:rsid w:val="006577A1"/>
    <w:rsid w:val="00663B24"/>
    <w:rsid w:val="0067209E"/>
    <w:rsid w:val="00682135"/>
    <w:rsid w:val="00683600"/>
    <w:rsid w:val="00693689"/>
    <w:rsid w:val="006D022F"/>
    <w:rsid w:val="006E22F3"/>
    <w:rsid w:val="006E5998"/>
    <w:rsid w:val="006E6138"/>
    <w:rsid w:val="006F1664"/>
    <w:rsid w:val="00704BD2"/>
    <w:rsid w:val="007154D6"/>
    <w:rsid w:val="0071555D"/>
    <w:rsid w:val="00721167"/>
    <w:rsid w:val="00741620"/>
    <w:rsid w:val="0074501B"/>
    <w:rsid w:val="007507A6"/>
    <w:rsid w:val="00753909"/>
    <w:rsid w:val="00757B32"/>
    <w:rsid w:val="00783178"/>
    <w:rsid w:val="007851F4"/>
    <w:rsid w:val="0079087D"/>
    <w:rsid w:val="007940A2"/>
    <w:rsid w:val="007A7B2C"/>
    <w:rsid w:val="007B12A7"/>
    <w:rsid w:val="007C3D87"/>
    <w:rsid w:val="007C4D6B"/>
    <w:rsid w:val="007C4E9D"/>
    <w:rsid w:val="007E48D0"/>
    <w:rsid w:val="007E5F0D"/>
    <w:rsid w:val="007F61DB"/>
    <w:rsid w:val="00802054"/>
    <w:rsid w:val="008029F7"/>
    <w:rsid w:val="008058B5"/>
    <w:rsid w:val="00811F18"/>
    <w:rsid w:val="00817F07"/>
    <w:rsid w:val="00826D0E"/>
    <w:rsid w:val="00830BCD"/>
    <w:rsid w:val="00834D0F"/>
    <w:rsid w:val="008367FB"/>
    <w:rsid w:val="00837135"/>
    <w:rsid w:val="008378CD"/>
    <w:rsid w:val="00842C3B"/>
    <w:rsid w:val="008543A2"/>
    <w:rsid w:val="008569D2"/>
    <w:rsid w:val="00856C7A"/>
    <w:rsid w:val="00880079"/>
    <w:rsid w:val="008A53B8"/>
    <w:rsid w:val="008B6BFE"/>
    <w:rsid w:val="008C6872"/>
    <w:rsid w:val="008C795F"/>
    <w:rsid w:val="008D3007"/>
    <w:rsid w:val="008D4846"/>
    <w:rsid w:val="008E1443"/>
    <w:rsid w:val="008E3478"/>
    <w:rsid w:val="008E4C41"/>
    <w:rsid w:val="008F33D8"/>
    <w:rsid w:val="00900FAF"/>
    <w:rsid w:val="0090268B"/>
    <w:rsid w:val="00902895"/>
    <w:rsid w:val="00906E7C"/>
    <w:rsid w:val="00911A94"/>
    <w:rsid w:val="00914915"/>
    <w:rsid w:val="009211ED"/>
    <w:rsid w:val="009263AC"/>
    <w:rsid w:val="009320A8"/>
    <w:rsid w:val="00935E29"/>
    <w:rsid w:val="00937600"/>
    <w:rsid w:val="009409FC"/>
    <w:rsid w:val="009417DF"/>
    <w:rsid w:val="00941ED8"/>
    <w:rsid w:val="00944277"/>
    <w:rsid w:val="00944E75"/>
    <w:rsid w:val="009503A6"/>
    <w:rsid w:val="00951C77"/>
    <w:rsid w:val="00952E04"/>
    <w:rsid w:val="00954ED1"/>
    <w:rsid w:val="0096098C"/>
    <w:rsid w:val="009670D5"/>
    <w:rsid w:val="009714DD"/>
    <w:rsid w:val="00973E7B"/>
    <w:rsid w:val="009A12F1"/>
    <w:rsid w:val="009A18DA"/>
    <w:rsid w:val="009A38E0"/>
    <w:rsid w:val="009A3B7F"/>
    <w:rsid w:val="009A541C"/>
    <w:rsid w:val="009B7683"/>
    <w:rsid w:val="009C6295"/>
    <w:rsid w:val="009D35A5"/>
    <w:rsid w:val="009D6861"/>
    <w:rsid w:val="009E092A"/>
    <w:rsid w:val="009E51B7"/>
    <w:rsid w:val="009E5E39"/>
    <w:rsid w:val="009F4395"/>
    <w:rsid w:val="009F602C"/>
    <w:rsid w:val="00A000EC"/>
    <w:rsid w:val="00A01511"/>
    <w:rsid w:val="00A047A4"/>
    <w:rsid w:val="00A13E17"/>
    <w:rsid w:val="00A244AA"/>
    <w:rsid w:val="00A34CB4"/>
    <w:rsid w:val="00A446F9"/>
    <w:rsid w:val="00A54A6B"/>
    <w:rsid w:val="00A5707C"/>
    <w:rsid w:val="00A6390D"/>
    <w:rsid w:val="00A80403"/>
    <w:rsid w:val="00A80620"/>
    <w:rsid w:val="00A860D2"/>
    <w:rsid w:val="00A95615"/>
    <w:rsid w:val="00AB06B0"/>
    <w:rsid w:val="00AB0BD0"/>
    <w:rsid w:val="00AC364B"/>
    <w:rsid w:val="00AC6782"/>
    <w:rsid w:val="00AD2D4C"/>
    <w:rsid w:val="00AE06B4"/>
    <w:rsid w:val="00AE5EA7"/>
    <w:rsid w:val="00AF23A4"/>
    <w:rsid w:val="00AF3BF7"/>
    <w:rsid w:val="00B021CC"/>
    <w:rsid w:val="00B054DD"/>
    <w:rsid w:val="00B06CED"/>
    <w:rsid w:val="00B12FCF"/>
    <w:rsid w:val="00B15DA6"/>
    <w:rsid w:val="00B24EA3"/>
    <w:rsid w:val="00B436D4"/>
    <w:rsid w:val="00B623C8"/>
    <w:rsid w:val="00B64F05"/>
    <w:rsid w:val="00B67600"/>
    <w:rsid w:val="00B7193C"/>
    <w:rsid w:val="00B72675"/>
    <w:rsid w:val="00B83708"/>
    <w:rsid w:val="00B90561"/>
    <w:rsid w:val="00B9056A"/>
    <w:rsid w:val="00B97DC8"/>
    <w:rsid w:val="00BB45EA"/>
    <w:rsid w:val="00BD3FC1"/>
    <w:rsid w:val="00BE58B0"/>
    <w:rsid w:val="00BE68E6"/>
    <w:rsid w:val="00BE7CFA"/>
    <w:rsid w:val="00BF1785"/>
    <w:rsid w:val="00C02C16"/>
    <w:rsid w:val="00C051E4"/>
    <w:rsid w:val="00C114FF"/>
    <w:rsid w:val="00C27FF1"/>
    <w:rsid w:val="00C43320"/>
    <w:rsid w:val="00C45FB0"/>
    <w:rsid w:val="00C93D42"/>
    <w:rsid w:val="00C95820"/>
    <w:rsid w:val="00C96CD3"/>
    <w:rsid w:val="00CA705B"/>
    <w:rsid w:val="00CA7EBA"/>
    <w:rsid w:val="00CB0877"/>
    <w:rsid w:val="00CB5EB0"/>
    <w:rsid w:val="00CC5319"/>
    <w:rsid w:val="00CC70CF"/>
    <w:rsid w:val="00D07B81"/>
    <w:rsid w:val="00D10373"/>
    <w:rsid w:val="00D11B60"/>
    <w:rsid w:val="00D1229D"/>
    <w:rsid w:val="00D147A3"/>
    <w:rsid w:val="00D271C9"/>
    <w:rsid w:val="00D4398B"/>
    <w:rsid w:val="00D53EE8"/>
    <w:rsid w:val="00D707D0"/>
    <w:rsid w:val="00D75FE6"/>
    <w:rsid w:val="00D813F7"/>
    <w:rsid w:val="00D861FB"/>
    <w:rsid w:val="00D86B05"/>
    <w:rsid w:val="00DA0FF0"/>
    <w:rsid w:val="00DB45B0"/>
    <w:rsid w:val="00DB4FC6"/>
    <w:rsid w:val="00DD49F8"/>
    <w:rsid w:val="00DE7546"/>
    <w:rsid w:val="00E05DC3"/>
    <w:rsid w:val="00E26CC1"/>
    <w:rsid w:val="00E34869"/>
    <w:rsid w:val="00E366A9"/>
    <w:rsid w:val="00E418FF"/>
    <w:rsid w:val="00E463FB"/>
    <w:rsid w:val="00E5483E"/>
    <w:rsid w:val="00E705B5"/>
    <w:rsid w:val="00E7505A"/>
    <w:rsid w:val="00E8285D"/>
    <w:rsid w:val="00E84D91"/>
    <w:rsid w:val="00E87B3F"/>
    <w:rsid w:val="00E920BC"/>
    <w:rsid w:val="00E92F06"/>
    <w:rsid w:val="00E95009"/>
    <w:rsid w:val="00E9751A"/>
    <w:rsid w:val="00EB7536"/>
    <w:rsid w:val="00EC046D"/>
    <w:rsid w:val="00EC1F61"/>
    <w:rsid w:val="00ED6388"/>
    <w:rsid w:val="00EE075A"/>
    <w:rsid w:val="00EF2303"/>
    <w:rsid w:val="00F05304"/>
    <w:rsid w:val="00F11103"/>
    <w:rsid w:val="00F14AD9"/>
    <w:rsid w:val="00F14D9A"/>
    <w:rsid w:val="00F25C7D"/>
    <w:rsid w:val="00F345D6"/>
    <w:rsid w:val="00F37E29"/>
    <w:rsid w:val="00F50880"/>
    <w:rsid w:val="00F60739"/>
    <w:rsid w:val="00F67728"/>
    <w:rsid w:val="00F73076"/>
    <w:rsid w:val="00F82049"/>
    <w:rsid w:val="00F87C93"/>
    <w:rsid w:val="00F946C6"/>
    <w:rsid w:val="00FB1219"/>
    <w:rsid w:val="00FB12E2"/>
    <w:rsid w:val="00FB3857"/>
    <w:rsid w:val="00FB4353"/>
    <w:rsid w:val="00FB750E"/>
    <w:rsid w:val="00FC1842"/>
    <w:rsid w:val="00FD0E64"/>
    <w:rsid w:val="00FD1024"/>
    <w:rsid w:val="00FD3D83"/>
    <w:rsid w:val="00FD5E28"/>
    <w:rsid w:val="00FF0E0E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3C4A4"/>
  <w15:chartTrackingRefBased/>
  <w15:docId w15:val="{937503F6-E48B-436C-8DB1-05D1C305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uiPriority w:val="99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">
    <w:name w:val="Zvýraznění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styleId="Odkaznakoment">
    <w:name w:val="annotation reference"/>
    <w:semiHidden/>
    <w:rsid w:val="003D0CCB"/>
    <w:rPr>
      <w:sz w:val="16"/>
      <w:szCs w:val="16"/>
    </w:rPr>
  </w:style>
  <w:style w:type="paragraph" w:styleId="Textkomente">
    <w:name w:val="annotation text"/>
    <w:basedOn w:val="Normln"/>
    <w:semiHidden/>
    <w:rsid w:val="003D0CC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D0CCB"/>
    <w:rPr>
      <w:b/>
      <w:bCs/>
    </w:rPr>
  </w:style>
  <w:style w:type="paragraph" w:styleId="Textbubliny">
    <w:name w:val="Balloon Text"/>
    <w:basedOn w:val="Normln"/>
    <w:semiHidden/>
    <w:rsid w:val="003D0C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41620"/>
  </w:style>
  <w:style w:type="character" w:styleId="Nevyeenzmnka">
    <w:name w:val="Unresolved Mention"/>
    <w:basedOn w:val="Standardnpsmoodstavce"/>
    <w:uiPriority w:val="99"/>
    <w:semiHidden/>
    <w:unhideWhenUsed/>
    <w:rsid w:val="00935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azant@omnimedi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vel.krska@vinarskecentrum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nazmoravyvinazcech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wc-vienna.at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ininger.de/wein/verkostungen/mundus-vin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3111</CharactersWithSpaces>
  <SharedDoc>false</SharedDoc>
  <HLinks>
    <vt:vector size="42" baseType="variant">
      <vt:variant>
        <vt:i4>524300</vt:i4>
      </vt:variant>
      <vt:variant>
        <vt:i4>18</vt:i4>
      </vt:variant>
      <vt:variant>
        <vt:i4>0</vt:i4>
      </vt:variant>
      <vt:variant>
        <vt:i4>5</vt:i4>
      </vt:variant>
      <vt:variant>
        <vt:lpwstr>http://www.vinazcech.cz/</vt:lpwstr>
      </vt:variant>
      <vt:variant>
        <vt:lpwstr/>
      </vt:variant>
      <vt:variant>
        <vt:i4>7471205</vt:i4>
      </vt:variant>
      <vt:variant>
        <vt:i4>15</vt:i4>
      </vt:variant>
      <vt:variant>
        <vt:i4>0</vt:i4>
      </vt:variant>
      <vt:variant>
        <vt:i4>5</vt:i4>
      </vt:variant>
      <vt:variant>
        <vt:lpwstr>http://www.vinazmoravy.cz/</vt:lpwstr>
      </vt:variant>
      <vt:variant>
        <vt:lpwstr/>
      </vt:variant>
      <vt:variant>
        <vt:i4>917612</vt:i4>
      </vt:variant>
      <vt:variant>
        <vt:i4>12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9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  <vt:variant>
        <vt:i4>3735679</vt:i4>
      </vt:variant>
      <vt:variant>
        <vt:i4>6</vt:i4>
      </vt:variant>
      <vt:variant>
        <vt:i4>0</vt:i4>
      </vt:variant>
      <vt:variant>
        <vt:i4>5</vt:i4>
      </vt:variant>
      <vt:variant>
        <vt:lpwstr>https://www.meininger.de/en/wine/2017-gruener-silvaner-late-harvest-dry</vt:lpwstr>
      </vt:variant>
      <vt:variant>
        <vt:lpwstr/>
      </vt:variant>
      <vt:variant>
        <vt:i4>393295</vt:i4>
      </vt:variant>
      <vt:variant>
        <vt:i4>3</vt:i4>
      </vt:variant>
      <vt:variant>
        <vt:i4>0</vt:i4>
      </vt:variant>
      <vt:variant>
        <vt:i4>5</vt:i4>
      </vt:variant>
      <vt:variant>
        <vt:lpwstr>https://www.meininger.de/en/wine/2017-pavlov-exclusive-chardonnay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https://www.meininger.de/en/vinofol-sro-novosedly-czech-republic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dc:description/>
  <cp:lastModifiedBy>Jiří Bažant</cp:lastModifiedBy>
  <cp:revision>12</cp:revision>
  <dcterms:created xsi:type="dcterms:W3CDTF">2022-09-19T09:57:00Z</dcterms:created>
  <dcterms:modified xsi:type="dcterms:W3CDTF">2022-09-20T07:54:00Z</dcterms:modified>
</cp:coreProperties>
</file>