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4051B" w14:textId="77777777" w:rsidR="00891696" w:rsidRDefault="00000000">
      <w:pPr>
        <w:pStyle w:val="Nadpis2"/>
        <w:keepNext w:val="0"/>
        <w:keepLines w:val="0"/>
        <w:spacing w:after="80"/>
        <w:rPr>
          <w:b/>
          <w:sz w:val="22"/>
          <w:szCs w:val="22"/>
        </w:rPr>
      </w:pPr>
      <w:bookmarkStart w:id="0" w:name="_3kfe5g1441w5" w:colFirst="0" w:colLast="0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F21B6E8" wp14:editId="5B72C75C">
            <wp:simplePos x="0" y="0"/>
            <wp:positionH relativeFrom="column">
              <wp:posOffset>1676400</wp:posOffset>
            </wp:positionH>
            <wp:positionV relativeFrom="paragraph">
              <wp:posOffset>114300</wp:posOffset>
            </wp:positionV>
            <wp:extent cx="2731746" cy="661988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1746" cy="661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5D56EF89" wp14:editId="6B302FD0">
            <wp:simplePos x="0" y="0"/>
            <wp:positionH relativeFrom="column">
              <wp:posOffset>4581525</wp:posOffset>
            </wp:positionH>
            <wp:positionV relativeFrom="paragraph">
              <wp:posOffset>114300</wp:posOffset>
            </wp:positionV>
            <wp:extent cx="1305392" cy="1195388"/>
            <wp:effectExtent l="0" t="0" r="0" b="0"/>
            <wp:wrapSquare wrapText="bothSides" distT="114300" distB="11430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5392" cy="1195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A4CD5A" w14:textId="77777777" w:rsidR="00891696" w:rsidRDefault="00891696">
      <w:pPr>
        <w:pStyle w:val="Nadpis2"/>
        <w:keepNext w:val="0"/>
        <w:keepLines w:val="0"/>
        <w:spacing w:after="80"/>
        <w:rPr>
          <w:b/>
          <w:sz w:val="34"/>
          <w:szCs w:val="34"/>
        </w:rPr>
      </w:pPr>
      <w:bookmarkStart w:id="1" w:name="_jt53ohn0tsdw" w:colFirst="0" w:colLast="0"/>
      <w:bookmarkEnd w:id="1"/>
    </w:p>
    <w:p w14:paraId="5266C8CA" w14:textId="77777777" w:rsidR="00891696" w:rsidRPr="00240367" w:rsidRDefault="00000000">
      <w:pPr>
        <w:pStyle w:val="Nadpis2"/>
        <w:keepNext w:val="0"/>
        <w:keepLines w:val="0"/>
        <w:spacing w:after="80"/>
        <w:rPr>
          <w:b/>
          <w:sz w:val="34"/>
          <w:szCs w:val="34"/>
          <w:lang w:val="cs-CZ"/>
        </w:rPr>
      </w:pPr>
      <w:bookmarkStart w:id="2" w:name="_fzsxmflfjlbq" w:colFirst="0" w:colLast="0"/>
      <w:bookmarkEnd w:id="2"/>
      <w:r w:rsidRPr="00240367">
        <w:rPr>
          <w:b/>
          <w:sz w:val="34"/>
          <w:szCs w:val="34"/>
          <w:lang w:val="cs-CZ"/>
        </w:rPr>
        <w:t>Národní vinařské centrum představilo klíčové dokumenty k realizaci Exportní politiky</w:t>
      </w:r>
    </w:p>
    <w:p w14:paraId="4C31D815" w14:textId="77777777" w:rsidR="00891696" w:rsidRPr="00240367" w:rsidRDefault="00000000">
      <w:pPr>
        <w:spacing w:before="240" w:after="240"/>
        <w:rPr>
          <w:lang w:val="cs-CZ"/>
        </w:rPr>
      </w:pPr>
      <w:r w:rsidRPr="00240367">
        <w:rPr>
          <w:lang w:val="cs-CZ"/>
        </w:rPr>
        <w:t>Národní vinařské centrum (NVC) zveřejnilo soubor strategických dokumentů, které představují důležitý milník v realizaci Exportní politiky českého a moravského vinařství. Tato iniciativa, financovaná z prostředků Vinařského fondu, má za cíl systematicky podporovat export vín a rozvoj vinařské turistiky.</w:t>
      </w:r>
    </w:p>
    <w:p w14:paraId="2F3B6A48" w14:textId="77777777" w:rsidR="00891696" w:rsidRPr="00240367" w:rsidRDefault="00000000">
      <w:pPr>
        <w:pStyle w:val="Nadpis3"/>
        <w:keepNext w:val="0"/>
        <w:keepLines w:val="0"/>
        <w:spacing w:before="280"/>
        <w:rPr>
          <w:b/>
          <w:color w:val="000000"/>
          <w:sz w:val="26"/>
          <w:szCs w:val="26"/>
          <w:lang w:val="cs-CZ"/>
        </w:rPr>
      </w:pPr>
      <w:bookmarkStart w:id="3" w:name="_8o852q26yj2w" w:colFirst="0" w:colLast="0"/>
      <w:bookmarkEnd w:id="3"/>
      <w:r w:rsidRPr="00240367">
        <w:rPr>
          <w:b/>
          <w:color w:val="000000"/>
          <w:sz w:val="26"/>
          <w:szCs w:val="26"/>
          <w:lang w:val="cs-CZ"/>
        </w:rPr>
        <w:t>Exportní strategie: Vize a cíle</w:t>
      </w:r>
    </w:p>
    <w:p w14:paraId="15691F08" w14:textId="77777777" w:rsidR="00891696" w:rsidRPr="00240367" w:rsidRDefault="00000000">
      <w:pPr>
        <w:spacing w:before="240" w:after="240"/>
        <w:rPr>
          <w:lang w:val="cs-CZ"/>
        </w:rPr>
      </w:pPr>
      <w:r w:rsidRPr="00240367">
        <w:rPr>
          <w:lang w:val="cs-CZ"/>
        </w:rPr>
        <w:t xml:space="preserve">Dokument </w:t>
      </w:r>
      <w:r w:rsidRPr="00240367">
        <w:rPr>
          <w:i/>
          <w:lang w:val="cs-CZ"/>
        </w:rPr>
        <w:t>Exportní strategie NVC</w:t>
      </w:r>
      <w:r w:rsidRPr="00240367">
        <w:rPr>
          <w:lang w:val="cs-CZ"/>
        </w:rPr>
        <w:t xml:space="preserve"> definuje hlavní cíle a vizi českého a moravského vinařství na zahraničních trzích. Klíčovým cílem je systematicky přispívat k budování značky a povědomí o kvalitě a jedinečnosti moravských a českých vín ve světě, zejména na vybraných preferovaných trzích s exportním potenciálem. Strategie klade důraz na tvorbu povědomí a budování vztahů se zahraničními partnery a tvorbu stabilních odbytišť pro vína z ČR.</w:t>
      </w:r>
    </w:p>
    <w:p w14:paraId="7CD82555" w14:textId="77777777" w:rsidR="00891696" w:rsidRPr="00240367" w:rsidRDefault="00000000">
      <w:pPr>
        <w:spacing w:before="240" w:after="240"/>
        <w:rPr>
          <w:b/>
          <w:sz w:val="26"/>
          <w:szCs w:val="26"/>
          <w:lang w:val="cs-CZ"/>
        </w:rPr>
      </w:pPr>
      <w:r w:rsidRPr="00240367">
        <w:rPr>
          <w:b/>
          <w:sz w:val="26"/>
          <w:szCs w:val="26"/>
          <w:lang w:val="cs-CZ"/>
        </w:rPr>
        <w:t>Export Handbook: Praktická příručka pro vinaře</w:t>
      </w:r>
    </w:p>
    <w:p w14:paraId="0B1D2D43" w14:textId="7DD50B81" w:rsidR="00891696" w:rsidRPr="00240367" w:rsidRDefault="00000000">
      <w:pPr>
        <w:spacing w:before="240" w:after="240"/>
        <w:rPr>
          <w:lang w:val="cs-CZ"/>
        </w:rPr>
      </w:pPr>
      <w:r w:rsidRPr="00240367">
        <w:rPr>
          <w:lang w:val="cs-CZ"/>
        </w:rPr>
        <w:t xml:space="preserve">Stěžejním materiálem je </w:t>
      </w:r>
      <w:r w:rsidRPr="00240367">
        <w:rPr>
          <w:i/>
          <w:lang w:val="cs-CZ"/>
        </w:rPr>
        <w:t>Export Handbook – příručka proexportního vinaře</w:t>
      </w:r>
      <w:r w:rsidRPr="00240367">
        <w:rPr>
          <w:lang w:val="cs-CZ"/>
        </w:rPr>
        <w:t xml:space="preserve">. Na více než 70 stranách přináší srozumitelné, ale odborně podložené informace pro vinaře, kteří se chtějí na export připravit nebo jej dále rozvíjet. Zaměřuje se na osm konkrétních zahraničních trhů – včetně </w:t>
      </w:r>
      <w:r w:rsidRPr="00240367">
        <w:rPr>
          <w:b/>
          <w:lang w:val="cs-CZ"/>
        </w:rPr>
        <w:t>Polska</w:t>
      </w:r>
      <w:r w:rsidRPr="00240367">
        <w:rPr>
          <w:lang w:val="cs-CZ"/>
        </w:rPr>
        <w:t xml:space="preserve">, které vykazuje </w:t>
      </w:r>
      <w:r w:rsidRPr="00240367">
        <w:rPr>
          <w:b/>
          <w:lang w:val="cs-CZ"/>
        </w:rPr>
        <w:t>výrazný růstový potenciál spotřeby vína</w:t>
      </w:r>
      <w:r w:rsidRPr="00240367">
        <w:rPr>
          <w:lang w:val="cs-CZ"/>
        </w:rPr>
        <w:t xml:space="preserve">, dále jsou </w:t>
      </w:r>
      <w:r w:rsidR="00240367" w:rsidRPr="00240367">
        <w:rPr>
          <w:lang w:val="cs-CZ"/>
        </w:rPr>
        <w:t>to: Jižní</w:t>
      </w:r>
      <w:r w:rsidRPr="00240367">
        <w:rPr>
          <w:b/>
          <w:lang w:val="cs-CZ"/>
        </w:rPr>
        <w:t xml:space="preserve"> Korea</w:t>
      </w:r>
      <w:r w:rsidRPr="00240367">
        <w:rPr>
          <w:lang w:val="cs-CZ"/>
        </w:rPr>
        <w:t>, Japonsko, Kanada z Evropy dále Německo, Dánsko, Švédsko a Velká Británie.</w:t>
      </w:r>
    </w:p>
    <w:p w14:paraId="795E0EB8" w14:textId="77777777" w:rsidR="00891696" w:rsidRPr="00240367" w:rsidRDefault="00000000">
      <w:pPr>
        <w:pStyle w:val="Nadpis3"/>
        <w:keepNext w:val="0"/>
        <w:keepLines w:val="0"/>
        <w:spacing w:before="280"/>
        <w:rPr>
          <w:b/>
          <w:color w:val="000000"/>
          <w:sz w:val="26"/>
          <w:szCs w:val="26"/>
          <w:lang w:val="cs-CZ"/>
        </w:rPr>
      </w:pPr>
      <w:bookmarkStart w:id="4" w:name="_6dwecntz41r" w:colFirst="0" w:colLast="0"/>
      <w:bookmarkEnd w:id="4"/>
      <w:r w:rsidRPr="00240367">
        <w:rPr>
          <w:b/>
          <w:color w:val="000000"/>
          <w:sz w:val="26"/>
          <w:szCs w:val="26"/>
          <w:lang w:val="cs-CZ"/>
        </w:rPr>
        <w:t>Analýza institucí: Spolupráce pro efektivní podporu</w:t>
      </w:r>
    </w:p>
    <w:p w14:paraId="2867AF91" w14:textId="77777777" w:rsidR="00891696" w:rsidRPr="00240367" w:rsidRDefault="00000000">
      <w:pPr>
        <w:spacing w:before="240" w:after="240"/>
        <w:rPr>
          <w:lang w:val="cs-CZ"/>
        </w:rPr>
      </w:pPr>
      <w:r w:rsidRPr="00240367">
        <w:rPr>
          <w:lang w:val="cs-CZ"/>
        </w:rPr>
        <w:t xml:space="preserve">Součástí publikovaných materiálů je také </w:t>
      </w:r>
      <w:r w:rsidRPr="00240367">
        <w:rPr>
          <w:i/>
          <w:lang w:val="cs-CZ"/>
        </w:rPr>
        <w:t>Analýza institucí pro podporu exportu a vinařské turistiky</w:t>
      </w:r>
      <w:r w:rsidRPr="00240367">
        <w:rPr>
          <w:lang w:val="cs-CZ"/>
        </w:rPr>
        <w:t xml:space="preserve">, tyto dokumenty mapují organizace, které se mohou zapojit ať už finančně, anebo organizačně. </w:t>
      </w:r>
    </w:p>
    <w:p w14:paraId="2CC717EE" w14:textId="77777777" w:rsidR="00891696" w:rsidRPr="00240367" w:rsidRDefault="00000000">
      <w:pPr>
        <w:pStyle w:val="Nadpis3"/>
        <w:keepNext w:val="0"/>
        <w:keepLines w:val="0"/>
        <w:spacing w:before="280"/>
        <w:rPr>
          <w:b/>
          <w:color w:val="000000"/>
          <w:sz w:val="26"/>
          <w:szCs w:val="26"/>
          <w:lang w:val="cs-CZ"/>
        </w:rPr>
      </w:pPr>
      <w:bookmarkStart w:id="5" w:name="_r3cnme7om0sh" w:colFirst="0" w:colLast="0"/>
      <w:bookmarkEnd w:id="5"/>
      <w:r w:rsidRPr="00240367">
        <w:rPr>
          <w:b/>
          <w:color w:val="000000"/>
          <w:sz w:val="26"/>
          <w:szCs w:val="26"/>
          <w:lang w:val="cs-CZ"/>
        </w:rPr>
        <w:t>Praktické zkušenosti: 15 aktivit ve 12 regionech světa</w:t>
      </w:r>
    </w:p>
    <w:p w14:paraId="6CEDDF86" w14:textId="77777777" w:rsidR="00891696" w:rsidRPr="00240367" w:rsidRDefault="00000000">
      <w:pPr>
        <w:spacing w:before="240" w:after="240"/>
        <w:rPr>
          <w:lang w:val="cs-CZ"/>
        </w:rPr>
      </w:pPr>
      <w:r w:rsidRPr="00240367">
        <w:rPr>
          <w:lang w:val="cs-CZ"/>
        </w:rPr>
        <w:t xml:space="preserve">V roce 2024 se NVC podílelo na </w:t>
      </w:r>
      <w:r w:rsidRPr="00240367">
        <w:rPr>
          <w:b/>
          <w:lang w:val="cs-CZ"/>
        </w:rPr>
        <w:t>15 prezentačních a obchodních aktivitách ve 12 regionech světa</w:t>
      </w:r>
      <w:r w:rsidRPr="00240367">
        <w:rPr>
          <w:lang w:val="cs-CZ"/>
        </w:rPr>
        <w:t xml:space="preserve">, zejména ve střední a severní Evropě, ale i v Asii. Všechny tyto aktivity propojují </w:t>
      </w:r>
      <w:r w:rsidRPr="00240367">
        <w:rPr>
          <w:b/>
          <w:lang w:val="cs-CZ"/>
        </w:rPr>
        <w:t>podporu exportu</w:t>
      </w:r>
      <w:r w:rsidRPr="00240367">
        <w:rPr>
          <w:lang w:val="cs-CZ"/>
        </w:rPr>
        <w:t xml:space="preserve"> s </w:t>
      </w:r>
      <w:r w:rsidRPr="00240367">
        <w:rPr>
          <w:b/>
          <w:lang w:val="cs-CZ"/>
        </w:rPr>
        <w:t>popularizací České republiky jako vinařské destinace</w:t>
      </w:r>
      <w:r w:rsidRPr="00240367">
        <w:rPr>
          <w:lang w:val="cs-CZ"/>
        </w:rPr>
        <w:t xml:space="preserve">. Nezastupitelnou roli zde hraje spolupráce s partnery, především s </w:t>
      </w:r>
      <w:r w:rsidRPr="00240367">
        <w:rPr>
          <w:b/>
          <w:lang w:val="cs-CZ"/>
        </w:rPr>
        <w:t>Ministerstvem zemědělství</w:t>
      </w:r>
      <w:r w:rsidRPr="00240367">
        <w:rPr>
          <w:lang w:val="cs-CZ"/>
        </w:rPr>
        <w:t xml:space="preserve">, </w:t>
      </w:r>
      <w:proofErr w:type="spellStart"/>
      <w:r w:rsidRPr="00240367">
        <w:rPr>
          <w:b/>
          <w:lang w:val="cs-CZ"/>
        </w:rPr>
        <w:t>CzechTourismem</w:t>
      </w:r>
      <w:proofErr w:type="spellEnd"/>
      <w:r w:rsidRPr="00240367">
        <w:rPr>
          <w:lang w:val="cs-CZ"/>
        </w:rPr>
        <w:t xml:space="preserve"> a </w:t>
      </w:r>
      <w:r w:rsidRPr="00240367">
        <w:rPr>
          <w:b/>
          <w:lang w:val="cs-CZ"/>
        </w:rPr>
        <w:t>Centrálou cestovního ruchu Jižní Moravy</w:t>
      </w:r>
      <w:r w:rsidRPr="00240367">
        <w:rPr>
          <w:lang w:val="cs-CZ"/>
        </w:rPr>
        <w:t xml:space="preserve">, kteří se často podílejí na organizaci i financování těchto aktivit. Nezastupitelnou roli má finanční </w:t>
      </w:r>
      <w:r w:rsidRPr="00240367">
        <w:rPr>
          <w:b/>
          <w:lang w:val="cs-CZ"/>
        </w:rPr>
        <w:t>podpora Vinařského fondu</w:t>
      </w:r>
      <w:r w:rsidRPr="00240367">
        <w:rPr>
          <w:lang w:val="cs-CZ"/>
        </w:rPr>
        <w:t>, kterou NVC získává díky úspěchu ve výběrovém řízení na realizaci exportních aktivit.</w:t>
      </w:r>
    </w:p>
    <w:p w14:paraId="7CA4FE41" w14:textId="77777777" w:rsidR="00891696" w:rsidRPr="00240367" w:rsidRDefault="00000000">
      <w:pPr>
        <w:pStyle w:val="Nadpis3"/>
        <w:keepNext w:val="0"/>
        <w:keepLines w:val="0"/>
        <w:spacing w:before="280"/>
        <w:rPr>
          <w:b/>
          <w:color w:val="000000"/>
          <w:sz w:val="26"/>
          <w:szCs w:val="26"/>
          <w:lang w:val="cs-CZ"/>
        </w:rPr>
      </w:pPr>
      <w:bookmarkStart w:id="6" w:name="_9ejkjngku5co" w:colFirst="0" w:colLast="0"/>
      <w:bookmarkEnd w:id="6"/>
      <w:r w:rsidRPr="00240367">
        <w:rPr>
          <w:b/>
          <w:color w:val="000000"/>
          <w:sz w:val="26"/>
          <w:szCs w:val="26"/>
          <w:lang w:val="cs-CZ"/>
        </w:rPr>
        <w:lastRenderedPageBreak/>
        <w:t>PROWEIN jako klíčová platforma</w:t>
      </w:r>
    </w:p>
    <w:p w14:paraId="60BAF713" w14:textId="77777777" w:rsidR="00891696" w:rsidRPr="00240367" w:rsidRDefault="00000000">
      <w:pPr>
        <w:spacing w:before="240" w:after="240"/>
        <w:rPr>
          <w:lang w:val="cs-CZ"/>
        </w:rPr>
      </w:pPr>
      <w:r w:rsidRPr="00240367">
        <w:rPr>
          <w:lang w:val="cs-CZ"/>
        </w:rPr>
        <w:t xml:space="preserve">NVC je také hlavním organizátorem </w:t>
      </w:r>
      <w:r w:rsidRPr="00240367">
        <w:rPr>
          <w:b/>
          <w:lang w:val="cs-CZ"/>
        </w:rPr>
        <w:t>národní expozice na mezinárodním vinařském veletrhu PROWEIN v Düsseldorfu</w:t>
      </w:r>
      <w:r w:rsidRPr="00240367">
        <w:rPr>
          <w:lang w:val="cs-CZ"/>
        </w:rPr>
        <w:t>, kde se moravská a česká vína každoročně prezentují v silné konkurenci světových producentů. Tato opakovaná účast zajišťuje dlouhodobou viditelnost českého vinařství a prostor pro navazování obchodních kontaktů.</w:t>
      </w:r>
    </w:p>
    <w:p w14:paraId="7FA590A8" w14:textId="77777777" w:rsidR="00891696" w:rsidRPr="00240367" w:rsidRDefault="00000000">
      <w:pPr>
        <w:pStyle w:val="Nadpis3"/>
        <w:keepNext w:val="0"/>
        <w:keepLines w:val="0"/>
        <w:spacing w:before="280"/>
        <w:rPr>
          <w:b/>
          <w:color w:val="000000"/>
          <w:sz w:val="26"/>
          <w:szCs w:val="26"/>
          <w:lang w:val="cs-CZ"/>
        </w:rPr>
      </w:pPr>
      <w:bookmarkStart w:id="7" w:name="_5en7muo88lhw" w:colFirst="0" w:colLast="0"/>
      <w:bookmarkEnd w:id="7"/>
      <w:r w:rsidRPr="00240367">
        <w:rPr>
          <w:b/>
          <w:color w:val="000000"/>
          <w:sz w:val="26"/>
          <w:szCs w:val="26"/>
          <w:lang w:val="cs-CZ"/>
        </w:rPr>
        <w:t>Dostupnost a využití dokumentů</w:t>
      </w:r>
    </w:p>
    <w:p w14:paraId="0DAB676F" w14:textId="77777777" w:rsidR="00891696" w:rsidRPr="00240367" w:rsidRDefault="00000000">
      <w:pPr>
        <w:spacing w:before="240" w:after="240"/>
        <w:rPr>
          <w:lang w:val="cs-CZ"/>
        </w:rPr>
      </w:pPr>
      <w:r w:rsidRPr="00240367">
        <w:rPr>
          <w:lang w:val="cs-CZ"/>
        </w:rPr>
        <w:t xml:space="preserve">Veškeré publikované dokumenty jsou </w:t>
      </w:r>
      <w:r w:rsidRPr="00240367">
        <w:rPr>
          <w:b/>
          <w:lang w:val="cs-CZ"/>
        </w:rPr>
        <w:t>volně dostupné na webu Národního vinařského centra</w:t>
      </w:r>
      <w:r w:rsidRPr="00240367">
        <w:rPr>
          <w:lang w:val="cs-CZ"/>
        </w:rPr>
        <w:t>. Vinaři je mohou využít jako praktický návod i inspiraci pro plánování vlastních exportních kroků. Dokumenty mohou sloužit i jako podklady pro práci oborových institucí či zahraničních partnerů.</w:t>
      </w:r>
    </w:p>
    <w:p w14:paraId="03ABBE1B" w14:textId="77777777" w:rsidR="00891696" w:rsidRDefault="00000000">
      <w:r>
        <w:pict w14:anchorId="32A71E9F">
          <v:rect id="_x0000_i1025" style="width:0;height:1.5pt" o:hralign="center" o:hrstd="t" o:hr="t" fillcolor="#a0a0a0" stroked="f"/>
        </w:pict>
      </w:r>
    </w:p>
    <w:p w14:paraId="6EA8CECC" w14:textId="77777777" w:rsidR="00891696" w:rsidRPr="00240367" w:rsidRDefault="00000000">
      <w:pPr>
        <w:spacing w:before="240" w:after="240"/>
        <w:rPr>
          <w:lang w:val="pl-PL"/>
        </w:rPr>
      </w:pPr>
      <w:r>
        <w:t>📌</w:t>
      </w:r>
      <w:r w:rsidRPr="00240367">
        <w:rPr>
          <w:lang w:val="pl-PL"/>
        </w:rPr>
        <w:t xml:space="preserve"> </w:t>
      </w:r>
      <w:r w:rsidRPr="00240367">
        <w:rPr>
          <w:i/>
          <w:lang w:val="pl-PL"/>
        </w:rPr>
        <w:t xml:space="preserve">Dokumenty </w:t>
      </w:r>
      <w:proofErr w:type="spellStart"/>
      <w:r w:rsidRPr="00240367">
        <w:rPr>
          <w:i/>
          <w:lang w:val="pl-PL"/>
        </w:rPr>
        <w:t>ke</w:t>
      </w:r>
      <w:proofErr w:type="spellEnd"/>
      <w:r w:rsidRPr="00240367">
        <w:rPr>
          <w:i/>
          <w:lang w:val="pl-PL"/>
        </w:rPr>
        <w:t xml:space="preserve"> </w:t>
      </w:r>
      <w:proofErr w:type="spellStart"/>
      <w:r w:rsidRPr="00240367">
        <w:rPr>
          <w:i/>
          <w:lang w:val="pl-PL"/>
        </w:rPr>
        <w:t>stažení</w:t>
      </w:r>
      <w:proofErr w:type="spellEnd"/>
      <w:r w:rsidRPr="00240367">
        <w:rPr>
          <w:i/>
          <w:lang w:val="pl-PL"/>
        </w:rPr>
        <w:t xml:space="preserve"> </w:t>
      </w:r>
      <w:proofErr w:type="spellStart"/>
      <w:r w:rsidRPr="00240367">
        <w:rPr>
          <w:i/>
          <w:lang w:val="pl-PL"/>
        </w:rPr>
        <w:t>najdete</w:t>
      </w:r>
      <w:proofErr w:type="spellEnd"/>
      <w:r w:rsidRPr="00240367">
        <w:rPr>
          <w:i/>
          <w:lang w:val="pl-PL"/>
        </w:rPr>
        <w:t xml:space="preserve"> na:</w:t>
      </w:r>
      <w:hyperlink r:id="rId9">
        <w:r w:rsidRPr="00240367">
          <w:rPr>
            <w:i/>
            <w:lang w:val="pl-PL"/>
          </w:rPr>
          <w:t xml:space="preserve"> </w:t>
        </w:r>
      </w:hyperlink>
    </w:p>
    <w:p w14:paraId="5D1262C4" w14:textId="77777777" w:rsidR="00891696" w:rsidRPr="00240367" w:rsidRDefault="00000000">
      <w:pPr>
        <w:spacing w:before="240" w:after="240"/>
        <w:rPr>
          <w:i/>
          <w:color w:val="1155CC"/>
          <w:u w:val="single"/>
          <w:lang w:val="it-IT"/>
        </w:rPr>
      </w:pPr>
      <w:hyperlink r:id="rId10">
        <w:r w:rsidRPr="00240367">
          <w:rPr>
            <w:i/>
            <w:color w:val="1155CC"/>
            <w:u w:val="single"/>
            <w:lang w:val="it-IT"/>
          </w:rPr>
          <w:t>vinarskecentrum.cz/o-</w:t>
        </w:r>
        <w:proofErr w:type="spellStart"/>
        <w:r w:rsidRPr="00240367">
          <w:rPr>
            <w:i/>
            <w:color w:val="1155CC"/>
            <w:u w:val="single"/>
            <w:lang w:val="it-IT"/>
          </w:rPr>
          <w:t>vine</w:t>
        </w:r>
        <w:proofErr w:type="spellEnd"/>
        <w:r w:rsidRPr="00240367">
          <w:rPr>
            <w:i/>
            <w:color w:val="1155CC"/>
            <w:u w:val="single"/>
            <w:lang w:val="it-IT"/>
          </w:rPr>
          <w:t>/info-</w:t>
        </w:r>
        <w:proofErr w:type="spellStart"/>
        <w:r w:rsidRPr="00240367">
          <w:rPr>
            <w:i/>
            <w:color w:val="1155CC"/>
            <w:u w:val="single"/>
            <w:lang w:val="it-IT"/>
          </w:rPr>
          <w:t>materialy</w:t>
        </w:r>
        <w:proofErr w:type="spellEnd"/>
      </w:hyperlink>
    </w:p>
    <w:p w14:paraId="2563E062" w14:textId="77777777" w:rsidR="00891696" w:rsidRPr="00240367" w:rsidRDefault="00000000">
      <w:pPr>
        <w:spacing w:before="240" w:after="240"/>
        <w:rPr>
          <w:i/>
          <w:color w:val="1155CC"/>
          <w:u w:val="single"/>
          <w:lang w:val="it-IT"/>
        </w:rPr>
      </w:pPr>
      <w:hyperlink r:id="rId11">
        <w:r w:rsidRPr="00240367">
          <w:rPr>
            <w:i/>
            <w:color w:val="1155CC"/>
            <w:u w:val="single"/>
            <w:lang w:val="it-IT"/>
          </w:rPr>
          <w:t>https://www.vinazmoravyvinazcech.cz/cs/pro-vinare/export</w:t>
        </w:r>
      </w:hyperlink>
    </w:p>
    <w:p w14:paraId="03A3C7A7" w14:textId="77777777" w:rsidR="00891696" w:rsidRPr="00240367" w:rsidRDefault="00891696">
      <w:pPr>
        <w:spacing w:before="240" w:after="240"/>
        <w:rPr>
          <w:i/>
          <w:color w:val="1155CC"/>
          <w:u w:val="single"/>
          <w:lang w:val="it-IT"/>
        </w:rPr>
      </w:pPr>
    </w:p>
    <w:p w14:paraId="3D2F000D" w14:textId="77777777" w:rsidR="00891696" w:rsidRPr="00240367" w:rsidRDefault="00891696">
      <w:pPr>
        <w:rPr>
          <w:lang w:val="it-IT"/>
        </w:rPr>
      </w:pPr>
    </w:p>
    <w:sectPr w:rsidR="00891696" w:rsidRPr="0024036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696"/>
    <w:rsid w:val="00240367"/>
    <w:rsid w:val="00891696"/>
    <w:rsid w:val="0097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1FE5"/>
  <w15:docId w15:val="{79B1A95E-247D-46E6-BB41-245E6E87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inazmoravyvinazcech.cz/cs/pro-vinare/expor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vinarskecentrum.cz/o-vine/info-materialy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vinarskecentrum.cz/o-vine/info-materia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A7A75AC5F25E479C075B351ADA1C2E" ma:contentTypeVersion="15" ma:contentTypeDescription="Vytvoří nový dokument" ma:contentTypeScope="" ma:versionID="d5f4d86e23fa961dc1330c67f6c18d71">
  <xsd:schema xmlns:xsd="http://www.w3.org/2001/XMLSchema" xmlns:xs="http://www.w3.org/2001/XMLSchema" xmlns:p="http://schemas.microsoft.com/office/2006/metadata/properties" xmlns:ns2="4f98422d-0cac-4233-8ce9-d790a5bd64d2" xmlns:ns3="77a3b709-30ce-4bf2-9cbd-607fd60e0ad0" targetNamespace="http://schemas.microsoft.com/office/2006/metadata/properties" ma:root="true" ma:fieldsID="90f8f5da63f33b1dfeeb8ae6fa078443" ns2:_="" ns3:_="">
    <xsd:import namespace="4f98422d-0cac-4233-8ce9-d790a5bd64d2"/>
    <xsd:import namespace="77a3b709-30ce-4bf2-9cbd-607fd60e0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8422d-0cac-4233-8ce9-d790a5bd6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1003a82-ba0a-4bab-a201-f9405b5ff3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3b709-30ce-4bf2-9cbd-607fd60e0a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9ecd71-4c8c-4b67-8210-c46fdf96b86e}" ma:internalName="TaxCatchAll" ma:showField="CatchAllData" ma:web="77a3b709-30ce-4bf2-9cbd-607fd60e0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3b709-30ce-4bf2-9cbd-607fd60e0ad0" xsi:nil="true"/>
    <lcf76f155ced4ddcb4097134ff3c332f xmlns="4f98422d-0cac-4233-8ce9-d790a5bd64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BA8ABB-B48B-42F8-86F6-978641B8E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F0F0A-F6A6-4DEA-90E2-BD4F2D5E9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8422d-0cac-4233-8ce9-d790a5bd64d2"/>
    <ds:schemaRef ds:uri="77a3b709-30ce-4bf2-9cbd-607fd60e0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A1B042-7C57-4927-BBA8-ADBB59A520FA}">
  <ds:schemaRefs>
    <ds:schemaRef ds:uri="http://schemas.microsoft.com/office/2006/metadata/properties"/>
    <ds:schemaRef ds:uri="http://schemas.microsoft.com/office/infopath/2007/PartnerControls"/>
    <ds:schemaRef ds:uri="77a3b709-30ce-4bf2-9cbd-607fd60e0ad0"/>
    <ds:schemaRef ds:uri="4f98422d-0cac-4233-8ce9-d790a5bd64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Patrik Kubát</cp:lastModifiedBy>
  <cp:revision>2</cp:revision>
  <dcterms:created xsi:type="dcterms:W3CDTF">2025-04-23T13:34:00Z</dcterms:created>
  <dcterms:modified xsi:type="dcterms:W3CDTF">2025-04-23T13:35:00Z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0x010100AEA7A75AC5F25E479C075B351ADA1C2E</vt:lpwstr>
  </property>
</Properties>
</file>