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46C9" w14:textId="77777777" w:rsidR="008412E3" w:rsidRDefault="008412E3" w:rsidP="008412E3">
      <w:pPr>
        <w:jc w:val="center"/>
        <w:rPr>
          <w:b/>
          <w:bCs/>
        </w:rPr>
      </w:pPr>
      <w:r w:rsidRPr="007E696B">
        <w:rPr>
          <w:b/>
          <w:bCs/>
        </w:rPr>
        <w:t>PODMÍNKY UŽÍVÁNÍ OZNAČENÍ „BUBLINKY“</w:t>
      </w:r>
    </w:p>
    <w:p w14:paraId="0297F8AA" w14:textId="55D717F2" w:rsidR="002962CD" w:rsidRPr="007E696B" w:rsidRDefault="002962CD" w:rsidP="008412E3">
      <w:pPr>
        <w:jc w:val="center"/>
        <w:rPr>
          <w:b/>
          <w:bCs/>
        </w:rPr>
      </w:pPr>
      <w:r>
        <w:rPr>
          <w:b/>
          <w:bCs/>
        </w:rPr>
        <w:t xml:space="preserve">Pro výrobky </w:t>
      </w:r>
      <w:r w:rsidR="00260487">
        <w:rPr>
          <w:b/>
          <w:bCs/>
        </w:rPr>
        <w:t>vyrobené</w:t>
      </w:r>
      <w:r>
        <w:rPr>
          <w:b/>
          <w:bCs/>
        </w:rPr>
        <w:t xml:space="preserve"> od 1. 1. 2026</w:t>
      </w:r>
    </w:p>
    <w:p w14:paraId="35355A46" w14:textId="77777777" w:rsidR="008412E3" w:rsidRDefault="008412E3" w:rsidP="008412E3">
      <w:pPr>
        <w:jc w:val="both"/>
      </w:pPr>
    </w:p>
    <w:p w14:paraId="5AD4ED52" w14:textId="5EB92F35" w:rsidR="008412E3" w:rsidRDefault="008412E3" w:rsidP="008412E3">
      <w:pPr>
        <w:jc w:val="both"/>
      </w:pPr>
      <w:r>
        <w:t>1.</w:t>
      </w:r>
      <w:r>
        <w:tab/>
        <w:t xml:space="preserve">Produktové </w:t>
      </w:r>
      <w:r w:rsidRPr="007E696B">
        <w:rPr>
          <w:i/>
          <w:iCs/>
        </w:rPr>
        <w:t>„</w:t>
      </w:r>
      <w:r>
        <w:rPr>
          <w:i/>
          <w:iCs/>
        </w:rPr>
        <w:t>b</w:t>
      </w:r>
      <w:r w:rsidRPr="007E696B">
        <w:rPr>
          <w:i/>
          <w:iCs/>
        </w:rPr>
        <w:t>ublinky“</w:t>
      </w:r>
      <w:r>
        <w:t xml:space="preserve"> zahrnují výhradně perlivá vína a perlivá vína dosycená </w:t>
      </w:r>
      <w:r w:rsidR="002962CD">
        <w:t>CO</w:t>
      </w:r>
      <w:r w:rsidR="002962CD" w:rsidRPr="00227C6C">
        <w:rPr>
          <w:vertAlign w:val="subscript"/>
        </w:rPr>
        <w:t>2</w:t>
      </w:r>
      <w:r>
        <w:t xml:space="preserve">. </w:t>
      </w:r>
    </w:p>
    <w:p w14:paraId="35A13DFA" w14:textId="77777777" w:rsidR="008412E3" w:rsidRDefault="008412E3" w:rsidP="008412E3">
      <w:pPr>
        <w:jc w:val="both"/>
      </w:pPr>
      <w:r>
        <w:t>2.</w:t>
      </w:r>
      <w:r>
        <w:tab/>
        <w:t>Povolené výrobní metody:</w:t>
      </w:r>
    </w:p>
    <w:p w14:paraId="05D37BD6" w14:textId="2ACB7AED" w:rsidR="008412E3" w:rsidRDefault="008412E3" w:rsidP="008412E3">
      <w:pPr>
        <w:pStyle w:val="Odstavecseseznamem"/>
        <w:numPr>
          <w:ilvl w:val="1"/>
          <w:numId w:val="1"/>
        </w:numPr>
        <w:suppressAutoHyphens w:val="0"/>
        <w:spacing w:line="259" w:lineRule="auto"/>
        <w:jc w:val="both"/>
      </w:pPr>
      <w:r>
        <w:t>Metoda sycení – povolena je metoda, kdy perlivé víno bude zcela či částečně dosycené oxidem uhličitým (1</w:t>
      </w:r>
      <w:r w:rsidR="00260487">
        <w:t>,5</w:t>
      </w:r>
      <w:r>
        <w:t xml:space="preserve"> – 2,5 baru)</w:t>
      </w:r>
      <w:r w:rsidR="00D729C6">
        <w:t xml:space="preserve"> v chlazené </w:t>
      </w:r>
      <w:r w:rsidR="00440B96">
        <w:t>nádobě</w:t>
      </w:r>
      <w:r w:rsidR="00260487">
        <w:t xml:space="preserve"> pod 5 </w:t>
      </w:r>
      <w:r w:rsidR="00360A3E">
        <w:t>°</w:t>
      </w:r>
      <w:r w:rsidR="00260487">
        <w:t>C</w:t>
      </w:r>
      <w:r>
        <w:t>. Při technologii sycení je preferovaná metoda dosycení kvasným CO</w:t>
      </w:r>
      <w:r w:rsidRPr="003D5CD3">
        <w:rPr>
          <w:vertAlign w:val="subscript"/>
        </w:rPr>
        <w:t>2</w:t>
      </w:r>
      <w:r>
        <w:t xml:space="preserve"> (unikátní technologie, snižování emisí); předpokládá se, že od roku 2028 bude používání kvasného </w:t>
      </w:r>
      <w:r w:rsidR="003D5CD3">
        <w:t>CO</w:t>
      </w:r>
      <w:r w:rsidR="003D5CD3" w:rsidRPr="00227C6C">
        <w:rPr>
          <w:vertAlign w:val="subscript"/>
        </w:rPr>
        <w:t>2</w:t>
      </w:r>
      <w:r>
        <w:t xml:space="preserve"> jediným povoleným způsobem sycení</w:t>
      </w:r>
      <w:r w:rsidR="003D5CD3">
        <w:t>. Informac</w:t>
      </w:r>
      <w:r w:rsidR="002962CD">
        <w:t>e</w:t>
      </w:r>
      <w:r w:rsidR="003D5CD3">
        <w:t xml:space="preserve"> o metodě sycení </w:t>
      </w:r>
      <w:r w:rsidR="00E7724B">
        <w:t>může</w:t>
      </w:r>
      <w:r w:rsidR="003D5CD3">
        <w:t xml:space="preserve"> být uvedena na etiketě.</w:t>
      </w:r>
    </w:p>
    <w:p w14:paraId="1D427652" w14:textId="1B08EDF2" w:rsidR="008412E3" w:rsidRDefault="008412E3" w:rsidP="008412E3">
      <w:pPr>
        <w:pStyle w:val="Odstavecseseznamem"/>
        <w:numPr>
          <w:ilvl w:val="1"/>
          <w:numId w:val="1"/>
        </w:numPr>
        <w:suppressAutoHyphens w:val="0"/>
        <w:spacing w:after="240" w:line="259" w:lineRule="auto"/>
        <w:ind w:left="1434" w:hanging="357"/>
        <w:contextualSpacing w:val="0"/>
        <w:jc w:val="both"/>
      </w:pPr>
      <w:r>
        <w:t>Metoda kvašením v tanku (</w:t>
      </w:r>
      <w:proofErr w:type="spellStart"/>
      <w:r>
        <w:t>charmat</w:t>
      </w:r>
      <w:proofErr w:type="spellEnd"/>
      <w:r>
        <w:t>) – varianta perlivého vína (tlak od 1</w:t>
      </w:r>
      <w:r w:rsidR="00260487">
        <w:t>,5</w:t>
      </w:r>
      <w:r>
        <w:t xml:space="preserve"> do 2,5 baru)</w:t>
      </w:r>
    </w:p>
    <w:p w14:paraId="3C4AB9C8" w14:textId="54847D3E" w:rsidR="008412E3" w:rsidRPr="00134D05" w:rsidRDefault="008412E3" w:rsidP="008412E3">
      <w:pPr>
        <w:jc w:val="both"/>
      </w:pPr>
      <w:r>
        <w:t>Na lahvi musí být povinně uveden způsob výroby</w:t>
      </w:r>
      <w:r w:rsidR="002962CD">
        <w:t xml:space="preserve"> (</w:t>
      </w:r>
      <w:proofErr w:type="spellStart"/>
      <w:r w:rsidR="002962CD">
        <w:t>charmat</w:t>
      </w:r>
      <w:proofErr w:type="spellEnd"/>
      <w:r w:rsidR="002962CD">
        <w:t>/sycení)</w:t>
      </w:r>
      <w:r>
        <w:t>.</w:t>
      </w:r>
    </w:p>
    <w:p w14:paraId="5CEF46BF" w14:textId="3D67DC8A" w:rsidR="008412E3" w:rsidRPr="006B2861" w:rsidRDefault="008412E3" w:rsidP="008412E3">
      <w:pPr>
        <w:jc w:val="both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 xml:space="preserve">Odrůdové složení produktů musí být tvořené hlavními odrůdami Müller Thurgau, Veltlínské zelené a Ryzlink vlašský, které musí tvořit minimálně 85 % a doplňková odrůda </w:t>
      </w:r>
      <w:r w:rsidR="00134D05">
        <w:rPr>
          <w:b/>
          <w:bCs/>
        </w:rPr>
        <w:t>15 %</w:t>
      </w:r>
      <w:r>
        <w:rPr>
          <w:b/>
          <w:bCs/>
        </w:rPr>
        <w:t xml:space="preserve">. Doplňkové odrůdy budou mít spíše neutrální, nikoliv aromatický charakter. Mohou to být odrůdy Chardonnay, Rulandské bílé, Ryzlink rýnský, Sylvánské zelené a „ne-aromatické“ PIWI odrůdy, například </w:t>
      </w:r>
      <w:proofErr w:type="spellStart"/>
      <w:r>
        <w:rPr>
          <w:b/>
          <w:bCs/>
        </w:rPr>
        <w:t>Solaris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Savilon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Rinot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Donauriesling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Malverina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Saphira</w:t>
      </w:r>
      <w:proofErr w:type="spellEnd"/>
      <w:r>
        <w:rPr>
          <w:b/>
          <w:bCs/>
        </w:rPr>
        <w:t xml:space="preserve"> nebo </w:t>
      </w:r>
      <w:proofErr w:type="spellStart"/>
      <w:r>
        <w:rPr>
          <w:b/>
          <w:bCs/>
        </w:rPr>
        <w:t>Johanniter</w:t>
      </w:r>
      <w:proofErr w:type="spellEnd"/>
      <w:r>
        <w:rPr>
          <w:b/>
          <w:bCs/>
        </w:rPr>
        <w:t>.</w:t>
      </w:r>
    </w:p>
    <w:p w14:paraId="6279FE3A" w14:textId="77777777" w:rsidR="008412E3" w:rsidRDefault="008412E3" w:rsidP="008412E3">
      <w:pPr>
        <w:jc w:val="both"/>
      </w:pPr>
      <w:r>
        <w:t>4.</w:t>
      </w:r>
      <w:r>
        <w:tab/>
        <w:t xml:space="preserve">V případě </w:t>
      </w:r>
      <w:proofErr w:type="spellStart"/>
      <w:r>
        <w:t>rosé</w:t>
      </w:r>
      <w:proofErr w:type="spellEnd"/>
      <w:r>
        <w:t xml:space="preserve"> jsou povoleny odrůdy </w:t>
      </w:r>
      <w:proofErr w:type="spellStart"/>
      <w:r>
        <w:t>Zweigeltrebe</w:t>
      </w:r>
      <w:proofErr w:type="spellEnd"/>
      <w:r>
        <w:t xml:space="preserve">, Svatovavřinecké a Frankovka, které musí tvořit minimálně 85 % pro jedno-odrůdová vína nebo pro výrobu cuvée. Jejich poměr si určí vinař. Doplňková odrůda Rulandské modré. </w:t>
      </w:r>
    </w:p>
    <w:p w14:paraId="7D1AE609" w14:textId="77777777" w:rsidR="008412E3" w:rsidRDefault="008412E3" w:rsidP="008412E3">
      <w:pPr>
        <w:jc w:val="both"/>
      </w:pPr>
      <w:r>
        <w:t>5.</w:t>
      </w:r>
      <w:r>
        <w:tab/>
        <w:t xml:space="preserve">Výsledný charakter produktu musí být </w:t>
      </w:r>
      <w:r w:rsidRPr="001078AE">
        <w:t xml:space="preserve">mladý, </w:t>
      </w:r>
      <w:proofErr w:type="spellStart"/>
      <w:r w:rsidRPr="001078AE">
        <w:t>ovocitý</w:t>
      </w:r>
      <w:proofErr w:type="spellEnd"/>
      <w:r w:rsidRPr="001078AE">
        <w:t>, jemný, lehký, svěž</w:t>
      </w:r>
      <w:r>
        <w:rPr>
          <w:rStyle w:val="cf01"/>
        </w:rPr>
        <w:t>í</w:t>
      </w:r>
      <w:r>
        <w:t xml:space="preserve">. Perlení musí být jemné a bohaté, tvořené jemnými perličkami s primární ovocnými tóny.       </w:t>
      </w:r>
    </w:p>
    <w:p w14:paraId="0BF7E7DA" w14:textId="4D4E672E" w:rsidR="008412E3" w:rsidRDefault="008412E3" w:rsidP="008412E3">
      <w:pPr>
        <w:jc w:val="both"/>
      </w:pPr>
      <w:r>
        <w:t>6.</w:t>
      </w:r>
      <w:r>
        <w:tab/>
        <w:t>Povolený rozsah zbytkového cukru pro kategorii perlivých vín označená jako suchá a polosuchá perlivá vína. Jedná se o vína se zbytkovým cukrem do 12 g na litr vína (max. do 18 g/l,</w:t>
      </w:r>
      <w:r w:rsidRPr="00123BF9">
        <w:t xml:space="preserve"> jestliže celková kyselost je nejvýše o 10 g nižší než obsah zbytkového cukru</w:t>
      </w:r>
      <w:r>
        <w:t xml:space="preserve">). Vyšší obsah zbytkového cukru není povolen. Maximální skutečný obsah alkoholu je </w:t>
      </w:r>
      <w:r w:rsidR="00134D05">
        <w:t>12 %</w:t>
      </w:r>
      <w:r>
        <w:t xml:space="preserve"> o</w:t>
      </w:r>
      <w:proofErr w:type="spellStart"/>
      <w:r>
        <w:t>bj</w:t>
      </w:r>
      <w:proofErr w:type="spellEnd"/>
      <w:r>
        <w:t xml:space="preserve">. </w:t>
      </w:r>
      <w:r w:rsidRPr="00571664">
        <w:rPr>
          <w:b/>
          <w:bCs/>
        </w:rPr>
        <w:t>s přihlédnutím k odchylce dané platnou legislativou a chybou refer</w:t>
      </w:r>
      <w:r w:rsidR="00CC34CF">
        <w:rPr>
          <w:b/>
          <w:bCs/>
        </w:rPr>
        <w:t>e</w:t>
      </w:r>
      <w:r w:rsidRPr="00571664">
        <w:rPr>
          <w:b/>
          <w:bCs/>
        </w:rPr>
        <w:t>nční metody</w:t>
      </w:r>
      <w:r>
        <w:rPr>
          <w:b/>
          <w:bCs/>
        </w:rPr>
        <w:t>.</w:t>
      </w:r>
      <w:r>
        <w:t xml:space="preserve"> V případě nestandardního ročníku si Vinařský fond vyhrazuje právo tyto parametry změnit.</w:t>
      </w:r>
    </w:p>
    <w:p w14:paraId="40863DFC" w14:textId="77777777" w:rsidR="008412E3" w:rsidRDefault="008412E3" w:rsidP="008412E3">
      <w:pPr>
        <w:jc w:val="both"/>
      </w:pPr>
      <w:r>
        <w:t>Na lahvi musí být povinně uvedeno, zda jde o víno suché či polosuché.</w:t>
      </w:r>
    </w:p>
    <w:p w14:paraId="7904B154" w14:textId="77777777" w:rsidR="008412E3" w:rsidRDefault="008412E3" w:rsidP="008412E3">
      <w:pPr>
        <w:jc w:val="both"/>
      </w:pPr>
      <w:r>
        <w:t>7.</w:t>
      </w:r>
      <w:r>
        <w:tab/>
        <w:t xml:space="preserve">Produkt musí být vyráběn v souladu s platnými právními předpisy v oblasti potravinářství a vinařství </w:t>
      </w:r>
      <w:r w:rsidRPr="00571664">
        <w:rPr>
          <w:b/>
          <w:bCs/>
        </w:rPr>
        <w:t>a v souladu s </w:t>
      </w:r>
      <w:proofErr w:type="spellStart"/>
      <w:r w:rsidRPr="00571664">
        <w:rPr>
          <w:b/>
          <w:bCs/>
        </w:rPr>
        <w:t>podlicenční</w:t>
      </w:r>
      <w:proofErr w:type="spellEnd"/>
      <w:r w:rsidRPr="00571664">
        <w:rPr>
          <w:b/>
          <w:bCs/>
        </w:rPr>
        <w:t xml:space="preserve"> smlouvou.</w:t>
      </w:r>
      <w:r>
        <w:t xml:space="preserve"> Výsledný produkt musí být vyroben z jakostních nebo zemských vín.</w:t>
      </w:r>
    </w:p>
    <w:p w14:paraId="4413D9FA" w14:textId="42A9AAEE" w:rsidR="008412E3" w:rsidRDefault="008412E3" w:rsidP="008412E3">
      <w:pPr>
        <w:jc w:val="both"/>
      </w:pPr>
      <w:r>
        <w:t>8.</w:t>
      </w:r>
      <w:r>
        <w:tab/>
        <w:t xml:space="preserve">Hrozny na výrobu vína pod značkou „bublinky“ musí být sklizeny v České republice a také zpracování hroznů a celý technologický proces výroby produktů s </w:t>
      </w:r>
      <w:r w:rsidR="003D5CD3">
        <w:t>CO</w:t>
      </w:r>
      <w:r w:rsidR="003D5CD3" w:rsidRPr="00227C6C">
        <w:rPr>
          <w:vertAlign w:val="subscript"/>
        </w:rPr>
        <w:t>2</w:t>
      </w:r>
      <w:r w:rsidR="00360A3E">
        <w:rPr>
          <w:vertAlign w:val="subscript"/>
        </w:rPr>
        <w:t xml:space="preserve"> </w:t>
      </w:r>
      <w:r>
        <w:t xml:space="preserve">musí proběhnout v České republice. </w:t>
      </w:r>
    </w:p>
    <w:p w14:paraId="489E2C67" w14:textId="77777777" w:rsidR="008412E3" w:rsidRDefault="008412E3" w:rsidP="008412E3">
      <w:pPr>
        <w:jc w:val="both"/>
      </w:pPr>
      <w:r>
        <w:t>9.</w:t>
      </w:r>
      <w:r>
        <w:tab/>
        <w:t xml:space="preserve">Všechny etikety a další tištěné i online materiály s uvedením značky </w:t>
      </w:r>
      <w:r w:rsidRPr="004F3B85">
        <w:rPr>
          <w:i/>
          <w:iCs/>
        </w:rPr>
        <w:t>„</w:t>
      </w:r>
      <w:r>
        <w:rPr>
          <w:i/>
          <w:iCs/>
        </w:rPr>
        <w:t>b</w:t>
      </w:r>
      <w:r w:rsidRPr="004F3B85">
        <w:rPr>
          <w:i/>
          <w:iCs/>
        </w:rPr>
        <w:t>ublinky“</w:t>
      </w:r>
      <w:r>
        <w:t xml:space="preserve"> musí být v souladu s platnými zákony a regulacemi týkajícími se označování potravin a vín</w:t>
      </w:r>
      <w:r w:rsidRPr="00F46FCC">
        <w:t>. Propagační kampaně se budou zaměřovat na zvýraznění kvalitativních vlastností vína a šíření informací o odpovědné konzumaci alkoholu.</w:t>
      </w:r>
    </w:p>
    <w:p w14:paraId="771A4A6D" w14:textId="51C9BFD4" w:rsidR="008412E3" w:rsidRPr="0045325B" w:rsidRDefault="008412E3" w:rsidP="008412E3">
      <w:pPr>
        <w:jc w:val="both"/>
        <w:rPr>
          <w:color w:val="auto"/>
        </w:rPr>
      </w:pPr>
      <w:bookmarkStart w:id="0" w:name="_Hlk210396165"/>
      <w:r w:rsidRPr="0045325B">
        <w:rPr>
          <w:color w:val="auto"/>
        </w:rPr>
        <w:t>10.</w:t>
      </w:r>
      <w:r w:rsidRPr="0045325B">
        <w:rPr>
          <w:color w:val="auto"/>
        </w:rPr>
        <w:tab/>
        <w:t xml:space="preserve">Výrobce je povinen dodržovat </w:t>
      </w:r>
      <w:proofErr w:type="spellStart"/>
      <w:r w:rsidRPr="0045325B">
        <w:rPr>
          <w:color w:val="auto"/>
        </w:rPr>
        <w:t>logomanuál</w:t>
      </w:r>
      <w:proofErr w:type="spellEnd"/>
      <w:r w:rsidR="00EA00E9" w:rsidRPr="0045325B">
        <w:rPr>
          <w:color w:val="auto"/>
        </w:rPr>
        <w:t xml:space="preserve"> vč. uvedených barev</w:t>
      </w:r>
      <w:r w:rsidRPr="0045325B">
        <w:rPr>
          <w:color w:val="auto"/>
        </w:rPr>
        <w:t xml:space="preserve">. </w:t>
      </w:r>
      <w:r w:rsidR="00440B96" w:rsidRPr="0045325B">
        <w:rPr>
          <w:color w:val="auto"/>
        </w:rPr>
        <w:t>Kontrol</w:t>
      </w:r>
      <w:r w:rsidR="00567DBA" w:rsidRPr="0045325B">
        <w:rPr>
          <w:color w:val="auto"/>
        </w:rPr>
        <w:t>a</w:t>
      </w:r>
      <w:r w:rsidR="00440B96" w:rsidRPr="0045325B">
        <w:rPr>
          <w:color w:val="auto"/>
        </w:rPr>
        <w:t xml:space="preserve"> etikety probíhá před </w:t>
      </w:r>
      <w:r w:rsidR="002864BC" w:rsidRPr="0045325B">
        <w:rPr>
          <w:color w:val="auto"/>
        </w:rPr>
        <w:t>jejím vytištěním</w:t>
      </w:r>
      <w:r w:rsidR="00440B96" w:rsidRPr="0045325B">
        <w:rPr>
          <w:color w:val="auto"/>
        </w:rPr>
        <w:t>.</w:t>
      </w:r>
      <w:r w:rsidR="002864BC" w:rsidRPr="0045325B">
        <w:rPr>
          <w:color w:val="auto"/>
        </w:rPr>
        <w:t xml:space="preserve"> Výrobce je povinen návrh etikety </w:t>
      </w:r>
      <w:r w:rsidR="000D2C7D" w:rsidRPr="0045325B">
        <w:rPr>
          <w:color w:val="auto"/>
        </w:rPr>
        <w:t xml:space="preserve">předložit </w:t>
      </w:r>
      <w:r w:rsidR="002D53E4" w:rsidRPr="0045325B">
        <w:rPr>
          <w:color w:val="auto"/>
        </w:rPr>
        <w:t xml:space="preserve">poskytovateli licence </w:t>
      </w:r>
      <w:r w:rsidR="000D2C7D" w:rsidRPr="0045325B">
        <w:rPr>
          <w:color w:val="auto"/>
        </w:rPr>
        <w:t>před tiskem</w:t>
      </w:r>
      <w:r w:rsidR="002864BC" w:rsidRPr="0045325B">
        <w:rPr>
          <w:color w:val="auto"/>
        </w:rPr>
        <w:t>.</w:t>
      </w:r>
      <w:r w:rsidR="00EA00E9" w:rsidRPr="0045325B">
        <w:rPr>
          <w:color w:val="auto"/>
        </w:rPr>
        <w:t xml:space="preserve"> Na </w:t>
      </w:r>
      <w:r w:rsidR="00EA00E9" w:rsidRPr="0045325B">
        <w:rPr>
          <w:color w:val="auto"/>
        </w:rPr>
        <w:lastRenderedPageBreak/>
        <w:t xml:space="preserve">etiketě nesmí být uveden jiný produktový název než „bublinky“. </w:t>
      </w:r>
      <w:r w:rsidR="00EE3B5A" w:rsidRPr="0045325B">
        <w:rPr>
          <w:color w:val="auto"/>
        </w:rPr>
        <w:t>Poskytovatel může návrh etikety při nesouladu s </w:t>
      </w:r>
      <w:proofErr w:type="spellStart"/>
      <w:r w:rsidR="00EE3B5A" w:rsidRPr="0045325B">
        <w:rPr>
          <w:color w:val="auto"/>
        </w:rPr>
        <w:t>logomanuálem</w:t>
      </w:r>
      <w:proofErr w:type="spellEnd"/>
      <w:r w:rsidR="00EE3B5A" w:rsidRPr="0045325B">
        <w:rPr>
          <w:color w:val="auto"/>
        </w:rPr>
        <w:t xml:space="preserve"> odmítnout.</w:t>
      </w:r>
    </w:p>
    <w:p w14:paraId="46A61DBA" w14:textId="1BAE4986" w:rsidR="008412E3" w:rsidRPr="0045325B" w:rsidRDefault="008412E3" w:rsidP="008412E3">
      <w:pPr>
        <w:jc w:val="both"/>
        <w:rPr>
          <w:color w:val="auto"/>
        </w:rPr>
      </w:pPr>
      <w:bookmarkStart w:id="1" w:name="_Hlk210396121"/>
      <w:bookmarkEnd w:id="0"/>
      <w:r w:rsidRPr="0045325B">
        <w:rPr>
          <w:color w:val="auto"/>
        </w:rPr>
        <w:t>11.</w:t>
      </w:r>
      <w:r w:rsidRPr="0045325B">
        <w:rPr>
          <w:color w:val="auto"/>
        </w:rPr>
        <w:tab/>
        <w:t>Produkty mohou být na trh dodávány pouze ve vinných čirých lahvích typu „</w:t>
      </w:r>
      <w:proofErr w:type="spellStart"/>
      <w:r w:rsidRPr="0045325B">
        <w:rPr>
          <w:color w:val="auto"/>
        </w:rPr>
        <w:t>burgunder</w:t>
      </w:r>
      <w:proofErr w:type="spellEnd"/>
      <w:r w:rsidRPr="0045325B">
        <w:rPr>
          <w:color w:val="auto"/>
        </w:rPr>
        <w:t>“ o obsahu 0,75 litru</w:t>
      </w:r>
      <w:r w:rsidR="00E51B5F" w:rsidRPr="0045325B">
        <w:rPr>
          <w:color w:val="auto"/>
        </w:rPr>
        <w:t xml:space="preserve"> a méně</w:t>
      </w:r>
      <w:r w:rsidRPr="0045325B">
        <w:rPr>
          <w:color w:val="auto"/>
        </w:rPr>
        <w:t xml:space="preserve"> (</w:t>
      </w:r>
      <w:r w:rsidR="000C5BBE">
        <w:rPr>
          <w:color w:val="auto"/>
        </w:rPr>
        <w:t>t</w:t>
      </w:r>
      <w:r w:rsidRPr="0045325B">
        <w:rPr>
          <w:color w:val="auto"/>
        </w:rPr>
        <w:t>ato láhev je ve spodní části širší a směrem k hrdlu se zužuje)</w:t>
      </w:r>
      <w:r w:rsidR="000C5BBE">
        <w:rPr>
          <w:color w:val="auto"/>
        </w:rPr>
        <w:t>.</w:t>
      </w:r>
      <w:r w:rsidR="00C02F30" w:rsidRPr="0045325B">
        <w:rPr>
          <w:color w:val="auto"/>
        </w:rPr>
        <w:t xml:space="preserve"> U menších lahví</w:t>
      </w:r>
      <w:r w:rsidR="00E51B5F" w:rsidRPr="0045325B">
        <w:rPr>
          <w:color w:val="auto"/>
        </w:rPr>
        <w:t xml:space="preserve"> než objem 0,75 l</w:t>
      </w:r>
      <w:r w:rsidR="00C02F30" w:rsidRPr="0045325B">
        <w:rPr>
          <w:color w:val="auto"/>
        </w:rPr>
        <w:t xml:space="preserve"> je preferovaným typem lahve také </w:t>
      </w:r>
      <w:r w:rsidR="00970B44" w:rsidRPr="0045325B">
        <w:rPr>
          <w:color w:val="auto"/>
        </w:rPr>
        <w:t xml:space="preserve">čirá </w:t>
      </w:r>
      <w:r w:rsidR="00C02F30" w:rsidRPr="0045325B">
        <w:rPr>
          <w:color w:val="auto"/>
        </w:rPr>
        <w:t>tvar</w:t>
      </w:r>
      <w:r w:rsidR="00970B44" w:rsidRPr="0045325B">
        <w:rPr>
          <w:color w:val="auto"/>
        </w:rPr>
        <w:t>u</w:t>
      </w:r>
      <w:r w:rsidR="00C02F30" w:rsidRPr="0045325B">
        <w:rPr>
          <w:color w:val="auto"/>
        </w:rPr>
        <w:t xml:space="preserve"> </w:t>
      </w:r>
      <w:r w:rsidR="00567DBA" w:rsidRPr="0045325B">
        <w:rPr>
          <w:color w:val="auto"/>
        </w:rPr>
        <w:t>„</w:t>
      </w:r>
      <w:proofErr w:type="spellStart"/>
      <w:r w:rsidR="00567DBA" w:rsidRPr="0045325B">
        <w:rPr>
          <w:color w:val="auto"/>
        </w:rPr>
        <w:t>burgunder</w:t>
      </w:r>
      <w:proofErr w:type="spellEnd"/>
      <w:r w:rsidR="00567DBA" w:rsidRPr="0045325B">
        <w:rPr>
          <w:color w:val="auto"/>
        </w:rPr>
        <w:t xml:space="preserve">“, ale </w:t>
      </w:r>
      <w:r w:rsidR="00C02F30" w:rsidRPr="0045325B">
        <w:rPr>
          <w:color w:val="auto"/>
        </w:rPr>
        <w:t>není to</w:t>
      </w:r>
      <w:r w:rsidR="00567DBA" w:rsidRPr="0045325B">
        <w:rPr>
          <w:color w:val="auto"/>
        </w:rPr>
        <w:t xml:space="preserve"> podmínkou.</w:t>
      </w:r>
      <w:r w:rsidRPr="0045325B">
        <w:rPr>
          <w:color w:val="auto"/>
        </w:rPr>
        <w:t xml:space="preserve"> </w:t>
      </w:r>
      <w:r w:rsidRPr="0045325B">
        <w:rPr>
          <w:b/>
          <w:bCs/>
          <w:color w:val="auto"/>
        </w:rPr>
        <w:t>Dále je povoleno plnění do plechovek pro variantu sycení CO</w:t>
      </w:r>
      <w:r w:rsidRPr="0045325B">
        <w:rPr>
          <w:b/>
          <w:bCs/>
          <w:color w:val="auto"/>
          <w:vertAlign w:val="subscript"/>
        </w:rPr>
        <w:t>2</w:t>
      </w:r>
      <w:r w:rsidRPr="0045325B">
        <w:rPr>
          <w:b/>
          <w:bCs/>
          <w:color w:val="auto"/>
        </w:rPr>
        <w:t xml:space="preserve"> - platí pro perlivá vína dosycená oxidem uhličitým.</w:t>
      </w:r>
      <w:r w:rsidRPr="0045325B">
        <w:rPr>
          <w:color w:val="auto"/>
        </w:rPr>
        <w:t xml:space="preserve"> </w:t>
      </w:r>
    </w:p>
    <w:bookmarkEnd w:id="1"/>
    <w:p w14:paraId="6DCF3239" w14:textId="39B7238C" w:rsidR="008412E3" w:rsidRPr="0045325B" w:rsidRDefault="008412E3" w:rsidP="008412E3">
      <w:pPr>
        <w:jc w:val="both"/>
        <w:rPr>
          <w:color w:val="auto"/>
        </w:rPr>
      </w:pPr>
      <w:r w:rsidRPr="0045325B">
        <w:rPr>
          <w:color w:val="auto"/>
        </w:rPr>
        <w:t>12.</w:t>
      </w:r>
      <w:r w:rsidRPr="0045325B">
        <w:rPr>
          <w:color w:val="auto"/>
        </w:rPr>
        <w:tab/>
        <w:t>Zátky – povoleny jsou šroubový uzávěr a korunka v souladu s </w:t>
      </w:r>
      <w:proofErr w:type="spellStart"/>
      <w:r w:rsidRPr="0045325B">
        <w:rPr>
          <w:color w:val="auto"/>
        </w:rPr>
        <w:t>logomanuálem</w:t>
      </w:r>
      <w:proofErr w:type="spellEnd"/>
      <w:r w:rsidRPr="0045325B">
        <w:rPr>
          <w:color w:val="auto"/>
        </w:rPr>
        <w:t>.</w:t>
      </w:r>
    </w:p>
    <w:p w14:paraId="40C6A3C0" w14:textId="4CD4FA5C" w:rsidR="008412E3" w:rsidRPr="0045325B" w:rsidRDefault="002864BC" w:rsidP="008412E3">
      <w:pPr>
        <w:suppressAutoHyphens w:val="0"/>
        <w:spacing w:after="0" w:line="240" w:lineRule="auto"/>
        <w:rPr>
          <w:color w:val="auto"/>
        </w:rPr>
      </w:pPr>
      <w:r w:rsidRPr="0045325B">
        <w:rPr>
          <w:color w:val="auto"/>
        </w:rPr>
        <w:t xml:space="preserve">13. </w:t>
      </w:r>
      <w:r w:rsidRPr="0045325B">
        <w:rPr>
          <w:color w:val="auto"/>
        </w:rPr>
        <w:tab/>
        <w:t>V případě nedodržení podmínek nebude výrobc</w:t>
      </w:r>
      <w:r w:rsidR="00360A3E" w:rsidRPr="0045325B">
        <w:rPr>
          <w:color w:val="auto"/>
        </w:rPr>
        <w:t>i</w:t>
      </w:r>
      <w:r w:rsidRPr="0045325B">
        <w:rPr>
          <w:color w:val="auto"/>
        </w:rPr>
        <w:t xml:space="preserve"> v dalším období přidělena známka bublinky.</w:t>
      </w:r>
    </w:p>
    <w:p w14:paraId="176AF25F" w14:textId="77777777" w:rsidR="006C7EEA" w:rsidRPr="0045325B" w:rsidRDefault="006C7EEA" w:rsidP="008412E3">
      <w:pPr>
        <w:suppressAutoHyphens w:val="0"/>
        <w:spacing w:after="0" w:line="240" w:lineRule="auto"/>
        <w:rPr>
          <w:color w:val="auto"/>
        </w:rPr>
      </w:pPr>
    </w:p>
    <w:p w14:paraId="2602991F" w14:textId="3965F4BE" w:rsidR="006C7EEA" w:rsidRPr="0045325B" w:rsidRDefault="006C7EEA" w:rsidP="008412E3">
      <w:pPr>
        <w:suppressAutoHyphens w:val="0"/>
        <w:spacing w:after="0" w:line="240" w:lineRule="auto"/>
        <w:rPr>
          <w:color w:val="auto"/>
        </w:rPr>
      </w:pPr>
      <w:r w:rsidRPr="0045325B">
        <w:rPr>
          <w:color w:val="auto"/>
        </w:rPr>
        <w:t xml:space="preserve">14. </w:t>
      </w:r>
      <w:r w:rsidRPr="0045325B">
        <w:rPr>
          <w:color w:val="auto"/>
        </w:rPr>
        <w:tab/>
        <w:t xml:space="preserve">Výrobce je povinen uschovat 3 lahve 0,75 l od každé šarže pro případnou kontrolu ze strany poskytovatele licence, jak je uvedeno v čl. VI. odst. 4 </w:t>
      </w:r>
      <w:proofErr w:type="spellStart"/>
      <w:r w:rsidRPr="0045325B">
        <w:rPr>
          <w:color w:val="auto"/>
        </w:rPr>
        <w:t>podlicenční</w:t>
      </w:r>
      <w:proofErr w:type="spellEnd"/>
      <w:r w:rsidRPr="0045325B">
        <w:rPr>
          <w:color w:val="auto"/>
        </w:rPr>
        <w:t xml:space="preserve"> smlouvy.</w:t>
      </w:r>
    </w:p>
    <w:p w14:paraId="46F83ECE" w14:textId="77777777" w:rsidR="006C7EEA" w:rsidRPr="0045325B" w:rsidRDefault="006C7EEA" w:rsidP="008412E3">
      <w:pPr>
        <w:suppressAutoHyphens w:val="0"/>
        <w:spacing w:after="0" w:line="240" w:lineRule="auto"/>
        <w:rPr>
          <w:color w:val="auto"/>
        </w:rPr>
      </w:pPr>
    </w:p>
    <w:p w14:paraId="1DC43D85" w14:textId="77777777" w:rsidR="002864BC" w:rsidRDefault="002864BC" w:rsidP="008412E3">
      <w:pPr>
        <w:suppressAutoHyphens w:val="0"/>
        <w:spacing w:after="0" w:line="240" w:lineRule="auto"/>
        <w:rPr>
          <w:b/>
          <w:bCs/>
          <w:color w:val="auto"/>
          <w:sz w:val="24"/>
          <w:szCs w:val="24"/>
        </w:rPr>
      </w:pPr>
    </w:p>
    <w:p w14:paraId="3F052C31" w14:textId="77777777" w:rsidR="0085728B" w:rsidRDefault="0085728B"/>
    <w:p w14:paraId="1CC5641E" w14:textId="77777777" w:rsidR="002864BC" w:rsidRDefault="002864BC"/>
    <w:sectPr w:rsidR="002864BC" w:rsidSect="008412E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42147"/>
    <w:multiLevelType w:val="hybridMultilevel"/>
    <w:tmpl w:val="C07E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E3"/>
    <w:rsid w:val="000C5BBE"/>
    <w:rsid w:val="000C79D3"/>
    <w:rsid w:val="000D2C7D"/>
    <w:rsid w:val="00134D05"/>
    <w:rsid w:val="001A5A3C"/>
    <w:rsid w:val="00260487"/>
    <w:rsid w:val="002864BC"/>
    <w:rsid w:val="002962CD"/>
    <w:rsid w:val="002D53E4"/>
    <w:rsid w:val="00360A3E"/>
    <w:rsid w:val="003D5CD3"/>
    <w:rsid w:val="00440B96"/>
    <w:rsid w:val="0045325B"/>
    <w:rsid w:val="00567DBA"/>
    <w:rsid w:val="005A3292"/>
    <w:rsid w:val="006C7EEA"/>
    <w:rsid w:val="0076407B"/>
    <w:rsid w:val="00770EBD"/>
    <w:rsid w:val="008412E3"/>
    <w:rsid w:val="008429CE"/>
    <w:rsid w:val="0085728B"/>
    <w:rsid w:val="00860844"/>
    <w:rsid w:val="00970B44"/>
    <w:rsid w:val="009B6738"/>
    <w:rsid w:val="00A34927"/>
    <w:rsid w:val="00A52957"/>
    <w:rsid w:val="00A97518"/>
    <w:rsid w:val="00AA3240"/>
    <w:rsid w:val="00C02F30"/>
    <w:rsid w:val="00CC34CF"/>
    <w:rsid w:val="00D729C6"/>
    <w:rsid w:val="00E41A77"/>
    <w:rsid w:val="00E51B5F"/>
    <w:rsid w:val="00E7724B"/>
    <w:rsid w:val="00EA00E9"/>
    <w:rsid w:val="00EE3B5A"/>
    <w:rsid w:val="00F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0650"/>
  <w15:chartTrackingRefBased/>
  <w15:docId w15:val="{0A4CC2C6-95C1-4FAB-995D-1179489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2E3"/>
    <w:pPr>
      <w:suppressAutoHyphens/>
      <w:spacing w:line="252" w:lineRule="auto"/>
    </w:pPr>
    <w:rPr>
      <w:rFonts w:ascii="Calibri" w:eastAsia="Calibri" w:hAnsi="Calibri" w:cs="Calibri"/>
      <w:color w:val="000000"/>
      <w:kern w:val="0"/>
      <w:u w:color="00000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1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1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1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1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1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1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12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1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1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1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12E3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npsmoodstavce"/>
    <w:rsid w:val="008412E3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D729C6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975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5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518"/>
    <w:rPr>
      <w:rFonts w:ascii="Calibri" w:eastAsia="Calibri" w:hAnsi="Calibri" w:cs="Calibri"/>
      <w:color w:val="000000"/>
      <w:kern w:val="0"/>
      <w:sz w:val="20"/>
      <w:szCs w:val="20"/>
      <w:u w:color="00000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5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518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Krainová</dc:creator>
  <cp:keywords/>
  <dc:description/>
  <cp:lastModifiedBy>Patrik Kubát</cp:lastModifiedBy>
  <cp:revision>11</cp:revision>
  <cp:lastPrinted>2025-10-02T08:41:00Z</cp:lastPrinted>
  <dcterms:created xsi:type="dcterms:W3CDTF">2025-10-15T10:39:00Z</dcterms:created>
  <dcterms:modified xsi:type="dcterms:W3CDTF">2025-12-08T13:45:00Z</dcterms:modified>
</cp:coreProperties>
</file>