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CA260" w14:textId="7A9AC6B5" w:rsidR="00470DAF" w:rsidRPr="00470DAF" w:rsidRDefault="00470DAF" w:rsidP="003C1B7A">
      <w:pPr>
        <w:rPr>
          <w:rFonts w:asciiTheme="minorHAnsi" w:hAnsiTheme="minorHAnsi" w:cstheme="minorHAnsi"/>
          <w:b/>
          <w:sz w:val="28"/>
          <w:szCs w:val="28"/>
          <w:lang w:val="it-IT"/>
        </w:rPr>
      </w:pPr>
      <w:r w:rsidRPr="00470DAF">
        <w:rPr>
          <w:rFonts w:asciiTheme="minorHAnsi" w:hAnsiTheme="minorHAnsi" w:cstheme="minorHAnsi"/>
          <w:b/>
          <w:sz w:val="28"/>
          <w:szCs w:val="28"/>
          <w:lang w:val="it-IT"/>
        </w:rPr>
        <w:t>La decarbonizzazione del sistema energetico italiano</w:t>
      </w:r>
    </w:p>
    <w:p w14:paraId="35AE23E7" w14:textId="6E676AF0" w:rsidR="00470DAF" w:rsidRDefault="00470DAF" w:rsidP="003C1B7A">
      <w:pPr>
        <w:rPr>
          <w:rFonts w:asciiTheme="minorHAnsi" w:hAnsiTheme="minorHAnsi" w:cstheme="minorHAnsi"/>
          <w:b/>
          <w:lang w:val="it-IT"/>
        </w:rPr>
      </w:pPr>
      <w:r w:rsidRPr="00470DAF">
        <w:rPr>
          <w:rFonts w:asciiTheme="minorHAnsi" w:hAnsiTheme="minorHAnsi" w:cstheme="minorHAnsi"/>
          <w:b/>
          <w:lang w:val="it-IT"/>
        </w:rPr>
        <w:t>Uno studio di Eurac Research (Bolzano) considera gli scenari ottimali, i costi e le opportunità economiche della transizione energetica in Italia</w:t>
      </w:r>
    </w:p>
    <w:p w14:paraId="3D18FC5C" w14:textId="77777777" w:rsidR="0077428C" w:rsidRPr="00470DAF" w:rsidRDefault="0077428C" w:rsidP="009634E5">
      <w:pPr>
        <w:jc w:val="center"/>
        <w:rPr>
          <w:rFonts w:asciiTheme="minorHAnsi" w:hAnsiTheme="minorHAnsi" w:cstheme="minorHAnsi"/>
          <w:b/>
          <w:lang w:val="it-IT"/>
        </w:rPr>
      </w:pPr>
    </w:p>
    <w:p w14:paraId="7F5F036B" w14:textId="0DDD8F36" w:rsidR="00B7585C" w:rsidRPr="00470DAF" w:rsidRDefault="00470DAF" w:rsidP="00470DAF">
      <w:pPr>
        <w:rPr>
          <w:rFonts w:asciiTheme="minorHAnsi" w:hAnsiTheme="minorHAnsi" w:cstheme="minorHAnsi"/>
          <w:lang w:val="it-IT"/>
        </w:rPr>
      </w:pPr>
      <w:r w:rsidRPr="00470DAF">
        <w:rPr>
          <w:rFonts w:asciiTheme="minorHAnsi" w:hAnsiTheme="minorHAnsi" w:cstheme="minorHAnsi"/>
          <w:lang w:val="it-IT"/>
        </w:rPr>
        <w:t>I principali obiettivi fissati dall’Unione europea per il 2030 richiedono di ridurre le emissioni inquinanti del 40% rispetto al 1990</w:t>
      </w:r>
      <w:r w:rsidR="00550905">
        <w:rPr>
          <w:rFonts w:asciiTheme="minorHAnsi" w:hAnsiTheme="minorHAnsi" w:cstheme="minorHAnsi"/>
          <w:lang w:val="it-IT"/>
        </w:rPr>
        <w:t xml:space="preserve"> e</w:t>
      </w:r>
      <w:r w:rsidRPr="00470DAF">
        <w:rPr>
          <w:rFonts w:asciiTheme="minorHAnsi" w:hAnsiTheme="minorHAnsi" w:cstheme="minorHAnsi"/>
          <w:lang w:val="it-IT"/>
        </w:rPr>
        <w:t xml:space="preserve"> di portare la quota di rinnovabili almeno al 3</w:t>
      </w:r>
      <w:r w:rsidR="00F32CEC">
        <w:rPr>
          <w:rFonts w:asciiTheme="minorHAnsi" w:hAnsiTheme="minorHAnsi" w:cstheme="minorHAnsi"/>
          <w:lang w:val="it-IT"/>
        </w:rPr>
        <w:t>0</w:t>
      </w:r>
      <w:r w:rsidRPr="00470DAF">
        <w:rPr>
          <w:rFonts w:asciiTheme="minorHAnsi" w:hAnsiTheme="minorHAnsi" w:cstheme="minorHAnsi"/>
          <w:lang w:val="it-IT"/>
        </w:rPr>
        <w:t xml:space="preserve">%. Per raggiungerli e avviare il sistema energetico nazionale verso una decarbonizzazione, l’Italia ha sviluppato il Piano nazionale integrato energia e clima (PNIEC). </w:t>
      </w:r>
      <w:r w:rsidR="00F32CEC">
        <w:rPr>
          <w:rFonts w:asciiTheme="minorHAnsi" w:hAnsiTheme="minorHAnsi" w:cstheme="minorHAnsi"/>
          <w:lang w:val="it-IT"/>
        </w:rPr>
        <w:t>Gli esperti di energie rinnovabili di Eurac Research hanno calcolato q</w:t>
      </w:r>
      <w:r w:rsidRPr="00470DAF">
        <w:rPr>
          <w:rFonts w:asciiTheme="minorHAnsi" w:hAnsiTheme="minorHAnsi" w:cstheme="minorHAnsi"/>
          <w:lang w:val="it-IT"/>
        </w:rPr>
        <w:t xml:space="preserve">uanto costa </w:t>
      </w:r>
      <w:r w:rsidR="00550905">
        <w:rPr>
          <w:rFonts w:asciiTheme="minorHAnsi" w:hAnsiTheme="minorHAnsi" w:cstheme="minorHAnsi"/>
          <w:lang w:val="it-IT"/>
        </w:rPr>
        <w:t xml:space="preserve">il sistema energetico </w:t>
      </w:r>
      <w:r w:rsidR="00742ED9">
        <w:rPr>
          <w:rFonts w:asciiTheme="minorHAnsi" w:hAnsiTheme="minorHAnsi" w:cstheme="minorHAnsi"/>
          <w:lang w:val="it-IT"/>
        </w:rPr>
        <w:t>previsto dal PNIEC</w:t>
      </w:r>
      <w:r w:rsidRPr="00470DAF">
        <w:rPr>
          <w:rFonts w:asciiTheme="minorHAnsi" w:hAnsiTheme="minorHAnsi" w:cstheme="minorHAnsi"/>
          <w:lang w:val="it-IT"/>
        </w:rPr>
        <w:t xml:space="preserve"> e </w:t>
      </w:r>
      <w:r w:rsidR="00F32CEC">
        <w:rPr>
          <w:rFonts w:asciiTheme="minorHAnsi" w:hAnsiTheme="minorHAnsi" w:cstheme="minorHAnsi"/>
          <w:lang w:val="it-IT"/>
        </w:rPr>
        <w:t xml:space="preserve">ragionato sulle </w:t>
      </w:r>
      <w:r w:rsidRPr="00470DAF">
        <w:rPr>
          <w:rFonts w:asciiTheme="minorHAnsi" w:hAnsiTheme="minorHAnsi" w:cstheme="minorHAnsi"/>
          <w:lang w:val="it-IT"/>
        </w:rPr>
        <w:t xml:space="preserve">opportunità economiche </w:t>
      </w:r>
      <w:r w:rsidR="00F32CEC">
        <w:rPr>
          <w:rFonts w:asciiTheme="minorHAnsi" w:hAnsiTheme="minorHAnsi" w:cstheme="minorHAnsi"/>
          <w:lang w:val="it-IT"/>
        </w:rPr>
        <w:t xml:space="preserve">che </w:t>
      </w:r>
      <w:r w:rsidRPr="00470DAF">
        <w:rPr>
          <w:rFonts w:asciiTheme="minorHAnsi" w:hAnsiTheme="minorHAnsi" w:cstheme="minorHAnsi"/>
          <w:lang w:val="it-IT"/>
        </w:rPr>
        <w:t>può generare</w:t>
      </w:r>
      <w:r w:rsidR="00F32CEC">
        <w:rPr>
          <w:rFonts w:asciiTheme="minorHAnsi" w:hAnsiTheme="minorHAnsi" w:cstheme="minorHAnsi"/>
          <w:lang w:val="it-IT"/>
        </w:rPr>
        <w:t xml:space="preserve">. Per farlo hanno utilizzato </w:t>
      </w:r>
      <w:r w:rsidRPr="00470DAF">
        <w:rPr>
          <w:rFonts w:asciiTheme="minorHAnsi" w:hAnsiTheme="minorHAnsi" w:cstheme="minorHAnsi"/>
          <w:lang w:val="it-IT"/>
        </w:rPr>
        <w:t>un avanzato modello di ottimizzazione</w:t>
      </w:r>
      <w:r w:rsidR="00B7585C" w:rsidRPr="00B7585C">
        <w:rPr>
          <w:rFonts w:asciiTheme="minorHAnsi" w:hAnsiTheme="minorHAnsi" w:cstheme="minorHAnsi"/>
          <w:lang w:val="it-IT"/>
        </w:rPr>
        <w:t xml:space="preserve"> basato sull’andamento orario della produzione e dei consumi di energia elettrica, termica e dei trasporti in un intero anno</w:t>
      </w:r>
      <w:r w:rsidR="00B7585C">
        <w:rPr>
          <w:rFonts w:asciiTheme="minorHAnsi" w:hAnsiTheme="minorHAnsi" w:cstheme="minorHAnsi"/>
          <w:lang w:val="it-IT"/>
        </w:rPr>
        <w:t xml:space="preserve">. Il modello ha inoltre </w:t>
      </w:r>
      <w:r w:rsidR="00F32CEC">
        <w:rPr>
          <w:rFonts w:asciiTheme="minorHAnsi" w:hAnsiTheme="minorHAnsi" w:cstheme="minorHAnsi"/>
          <w:lang w:val="it-IT"/>
        </w:rPr>
        <w:t xml:space="preserve">permesso loro di individuare </w:t>
      </w:r>
      <w:r w:rsidRPr="00470DAF">
        <w:rPr>
          <w:rFonts w:asciiTheme="minorHAnsi" w:hAnsiTheme="minorHAnsi" w:cstheme="minorHAnsi"/>
          <w:lang w:val="it-IT"/>
        </w:rPr>
        <w:t xml:space="preserve">scenari </w:t>
      </w:r>
      <w:r w:rsidR="00B7585C">
        <w:rPr>
          <w:rFonts w:asciiTheme="minorHAnsi" w:hAnsiTheme="minorHAnsi" w:cstheme="minorHAnsi"/>
          <w:lang w:val="it-IT"/>
        </w:rPr>
        <w:t xml:space="preserve">di decarbonizzazione </w:t>
      </w:r>
      <w:r w:rsidRPr="00470DAF">
        <w:rPr>
          <w:rFonts w:asciiTheme="minorHAnsi" w:hAnsiTheme="minorHAnsi" w:cstheme="minorHAnsi"/>
          <w:lang w:val="it-IT"/>
        </w:rPr>
        <w:t>alternativi a parità di costi</w:t>
      </w:r>
      <w:r w:rsidR="00B7585C">
        <w:rPr>
          <w:rFonts w:asciiTheme="minorHAnsi" w:hAnsiTheme="minorHAnsi" w:cstheme="minorHAnsi"/>
          <w:lang w:val="it-IT"/>
        </w:rPr>
        <w:t xml:space="preserve"> e di valutare il loro impatto sul carbon budget per l’Italia.</w:t>
      </w:r>
    </w:p>
    <w:p w14:paraId="759EC8EF" w14:textId="77777777" w:rsidR="00470DAF" w:rsidRPr="00470DAF" w:rsidRDefault="00470DAF" w:rsidP="00470DAF">
      <w:pPr>
        <w:rPr>
          <w:rFonts w:asciiTheme="minorHAnsi" w:hAnsiTheme="minorHAnsi" w:cstheme="minorHAnsi"/>
          <w:lang w:val="it-IT"/>
        </w:rPr>
      </w:pPr>
    </w:p>
    <w:p w14:paraId="678F6BE9" w14:textId="5CF89A9C" w:rsidR="00470DAF" w:rsidRDefault="00470DAF" w:rsidP="00470DAF">
      <w:pPr>
        <w:rPr>
          <w:rFonts w:asciiTheme="minorHAnsi" w:hAnsiTheme="minorHAnsi" w:cstheme="minorHAnsi"/>
          <w:b/>
          <w:lang w:val="it-IT"/>
        </w:rPr>
      </w:pPr>
      <w:r w:rsidRPr="00470DAF">
        <w:rPr>
          <w:rFonts w:asciiTheme="minorHAnsi" w:hAnsiTheme="minorHAnsi" w:cstheme="minorHAnsi"/>
          <w:b/>
          <w:lang w:val="it-IT"/>
        </w:rPr>
        <w:t>Il sistema energetico attuale e il PNIEC 2030: cosa cambierà e con quali costi?</w:t>
      </w:r>
    </w:p>
    <w:p w14:paraId="042BC9DA" w14:textId="40A1C920" w:rsidR="00470DAF" w:rsidRDefault="00470DAF" w:rsidP="00470DAF">
      <w:pPr>
        <w:rPr>
          <w:rFonts w:asciiTheme="minorHAnsi" w:hAnsiTheme="minorHAnsi" w:cstheme="minorHAnsi"/>
          <w:lang w:val="it-IT"/>
        </w:rPr>
      </w:pPr>
      <w:r w:rsidRPr="00470DAF">
        <w:rPr>
          <w:rFonts w:asciiTheme="minorHAnsi" w:hAnsiTheme="minorHAnsi" w:cstheme="minorHAnsi"/>
          <w:lang w:val="it-IT"/>
        </w:rPr>
        <w:t>Secondo le stime dei ricercatori di Eurac Research, oggi il sistema energetico italiano costa circa 60</w:t>
      </w:r>
      <w:r w:rsidR="00B7585C">
        <w:rPr>
          <w:rFonts w:asciiTheme="minorHAnsi" w:hAnsiTheme="minorHAnsi" w:cstheme="minorHAnsi"/>
          <w:lang w:val="it-IT"/>
        </w:rPr>
        <w:t>,6</w:t>
      </w:r>
      <w:r w:rsidRPr="00470DAF">
        <w:rPr>
          <w:rFonts w:asciiTheme="minorHAnsi" w:hAnsiTheme="minorHAnsi" w:cstheme="minorHAnsi"/>
          <w:lang w:val="it-IT"/>
        </w:rPr>
        <w:t xml:space="preserve"> miliardi di euro l’anno</w:t>
      </w:r>
      <w:r w:rsidR="00B7585C">
        <w:rPr>
          <w:rFonts w:asciiTheme="minorHAnsi" w:hAnsiTheme="minorHAnsi" w:cstheme="minorHAnsi"/>
          <w:lang w:val="it-IT"/>
        </w:rPr>
        <w:t xml:space="preserve"> (considerando i costi complessivi di generazione di energia e quelli per il consumo di combustibili). O</w:t>
      </w:r>
      <w:r w:rsidRPr="00470DAF">
        <w:rPr>
          <w:rFonts w:asciiTheme="minorHAnsi" w:hAnsiTheme="minorHAnsi" w:cstheme="minorHAnsi"/>
          <w:lang w:val="it-IT"/>
        </w:rPr>
        <w:t>ltre la metà di questa spesa viene impiegata per acquistare combustibili fossili dall’estero (principalmente gas naturale</w:t>
      </w:r>
      <w:r w:rsidR="00B34F01">
        <w:rPr>
          <w:rFonts w:asciiTheme="minorHAnsi" w:hAnsiTheme="minorHAnsi" w:cstheme="minorHAnsi"/>
          <w:lang w:val="it-IT"/>
        </w:rPr>
        <w:t xml:space="preserve"> e</w:t>
      </w:r>
      <w:r w:rsidRPr="00470DAF">
        <w:rPr>
          <w:rFonts w:asciiTheme="minorHAnsi" w:hAnsiTheme="minorHAnsi" w:cstheme="minorHAnsi"/>
          <w:lang w:val="it-IT"/>
        </w:rPr>
        <w:t xml:space="preserve"> petrolio). Tra gli interventi principali del PNIEC per cambiare questo sistema ci sono importanti aumenti nel fotovoltaico (da 19 a 59 gigawatt installati) e</w:t>
      </w:r>
      <w:r w:rsidR="00B7585C">
        <w:rPr>
          <w:rFonts w:asciiTheme="minorHAnsi" w:hAnsiTheme="minorHAnsi" w:cstheme="minorHAnsi"/>
          <w:lang w:val="it-IT"/>
        </w:rPr>
        <w:t xml:space="preserve"> nell’</w:t>
      </w:r>
      <w:r w:rsidRPr="00470DAF">
        <w:rPr>
          <w:rFonts w:asciiTheme="minorHAnsi" w:hAnsiTheme="minorHAnsi" w:cstheme="minorHAnsi"/>
          <w:lang w:val="it-IT"/>
        </w:rPr>
        <w:t xml:space="preserve">eolico (da 9 a 23 gigawatt), investimenti nei sistemi di stoccaggio per immagazzinare l’energia prodotta da queste fonti non programmabili e </w:t>
      </w:r>
      <w:r w:rsidR="002B4B27">
        <w:rPr>
          <w:rFonts w:asciiTheme="minorHAnsi" w:hAnsiTheme="minorHAnsi" w:cstheme="minorHAnsi"/>
          <w:lang w:val="it-IT"/>
        </w:rPr>
        <w:t>la crescita della mobilità elettrica</w:t>
      </w:r>
      <w:r w:rsidR="00E10F15">
        <w:rPr>
          <w:rFonts w:asciiTheme="minorHAnsi" w:hAnsiTheme="minorHAnsi" w:cstheme="minorHAnsi"/>
          <w:lang w:val="it-IT"/>
        </w:rPr>
        <w:t xml:space="preserve"> e dell’utilizzo di </w:t>
      </w:r>
      <w:r w:rsidR="00550905">
        <w:rPr>
          <w:rFonts w:asciiTheme="minorHAnsi" w:hAnsiTheme="minorHAnsi" w:cstheme="minorHAnsi"/>
          <w:lang w:val="it-IT"/>
        </w:rPr>
        <w:t>biocombustibili avanzati</w:t>
      </w:r>
      <w:r w:rsidR="00205D28">
        <w:rPr>
          <w:rFonts w:asciiTheme="minorHAnsi" w:hAnsiTheme="minorHAnsi" w:cstheme="minorHAnsi"/>
          <w:lang w:val="it-IT"/>
        </w:rPr>
        <w:t xml:space="preserve">. </w:t>
      </w:r>
      <w:r w:rsidR="00DB026E">
        <w:rPr>
          <w:rFonts w:asciiTheme="minorHAnsi" w:hAnsiTheme="minorHAnsi" w:cstheme="minorHAnsi"/>
          <w:lang w:val="it-IT"/>
        </w:rPr>
        <w:t xml:space="preserve"> </w:t>
      </w:r>
    </w:p>
    <w:p w14:paraId="0C0BBBD5" w14:textId="3DC770FA" w:rsidR="0077428C" w:rsidRDefault="00742ED9" w:rsidP="00470DAF">
      <w:pPr>
        <w:rPr>
          <w:rFonts w:asciiTheme="minorHAnsi" w:hAnsiTheme="minorHAnsi" w:cstheme="minorHAnsi"/>
          <w:lang w:val="it-IT"/>
        </w:rPr>
      </w:pPr>
      <w:r>
        <w:rPr>
          <w:rFonts w:asciiTheme="minorHAnsi" w:hAnsiTheme="minorHAnsi" w:cstheme="minorHAnsi"/>
          <w:lang w:val="it-IT"/>
        </w:rPr>
        <w:t xml:space="preserve">In base al modello di Eurac Research, i diversi </w:t>
      </w:r>
      <w:r w:rsidR="00470DAF" w:rsidRPr="00470DAF">
        <w:rPr>
          <w:rFonts w:asciiTheme="minorHAnsi" w:hAnsiTheme="minorHAnsi" w:cstheme="minorHAnsi"/>
          <w:lang w:val="it-IT"/>
        </w:rPr>
        <w:t>interventi del PNIEC faranno crescere</w:t>
      </w:r>
      <w:r>
        <w:rPr>
          <w:rFonts w:asciiTheme="minorHAnsi" w:hAnsiTheme="minorHAnsi" w:cstheme="minorHAnsi"/>
          <w:lang w:val="it-IT"/>
        </w:rPr>
        <w:t xml:space="preserve"> </w:t>
      </w:r>
      <w:r w:rsidR="00470DAF" w:rsidRPr="00470DAF">
        <w:rPr>
          <w:rFonts w:asciiTheme="minorHAnsi" w:hAnsiTheme="minorHAnsi" w:cstheme="minorHAnsi"/>
          <w:lang w:val="it-IT"/>
        </w:rPr>
        <w:t xml:space="preserve">il costo complessivo </w:t>
      </w:r>
      <w:r w:rsidR="002B4B27">
        <w:rPr>
          <w:rFonts w:asciiTheme="minorHAnsi" w:hAnsiTheme="minorHAnsi" w:cstheme="minorHAnsi"/>
          <w:lang w:val="it-IT"/>
        </w:rPr>
        <w:t xml:space="preserve">annuale </w:t>
      </w:r>
      <w:r w:rsidR="00470DAF" w:rsidRPr="00470DAF">
        <w:rPr>
          <w:rFonts w:asciiTheme="minorHAnsi" w:hAnsiTheme="minorHAnsi" w:cstheme="minorHAnsi"/>
          <w:lang w:val="it-IT"/>
        </w:rPr>
        <w:t>del sistema energetico italiano</w:t>
      </w:r>
      <w:r w:rsidR="00BD0169">
        <w:rPr>
          <w:rFonts w:asciiTheme="minorHAnsi" w:hAnsiTheme="minorHAnsi" w:cstheme="minorHAnsi"/>
          <w:lang w:val="it-IT"/>
        </w:rPr>
        <w:t xml:space="preserve"> </w:t>
      </w:r>
      <w:r w:rsidR="00550905">
        <w:rPr>
          <w:rFonts w:asciiTheme="minorHAnsi" w:hAnsiTheme="minorHAnsi" w:cstheme="minorHAnsi"/>
          <w:lang w:val="it-IT"/>
        </w:rPr>
        <w:t xml:space="preserve">circa </w:t>
      </w:r>
      <w:r w:rsidR="00BD0169">
        <w:rPr>
          <w:rFonts w:asciiTheme="minorHAnsi" w:hAnsiTheme="minorHAnsi" w:cstheme="minorHAnsi"/>
          <w:lang w:val="it-IT"/>
        </w:rPr>
        <w:t>del 5,4%</w:t>
      </w:r>
      <w:r>
        <w:rPr>
          <w:rFonts w:asciiTheme="minorHAnsi" w:hAnsiTheme="minorHAnsi" w:cstheme="minorHAnsi"/>
          <w:lang w:val="it-IT"/>
        </w:rPr>
        <w:t>.</w:t>
      </w:r>
    </w:p>
    <w:p w14:paraId="46223D41" w14:textId="77777777" w:rsidR="00470DAF" w:rsidRPr="00470DAF" w:rsidRDefault="00470DAF" w:rsidP="00470DAF">
      <w:pPr>
        <w:rPr>
          <w:rFonts w:asciiTheme="minorHAnsi" w:hAnsiTheme="minorHAnsi" w:cstheme="minorHAnsi"/>
          <w:lang w:val="it-IT"/>
        </w:rPr>
      </w:pPr>
    </w:p>
    <w:p w14:paraId="05DFD863" w14:textId="086999B0" w:rsidR="0077428C" w:rsidRDefault="00470DAF" w:rsidP="00470DAF">
      <w:pPr>
        <w:rPr>
          <w:rFonts w:asciiTheme="minorHAnsi" w:hAnsiTheme="minorHAnsi" w:cstheme="minorHAnsi"/>
          <w:b/>
          <w:lang w:val="it-IT"/>
        </w:rPr>
      </w:pPr>
      <w:r w:rsidRPr="00470DAF">
        <w:rPr>
          <w:rFonts w:asciiTheme="minorHAnsi" w:hAnsiTheme="minorHAnsi" w:cstheme="minorHAnsi"/>
          <w:b/>
          <w:lang w:val="it-IT"/>
        </w:rPr>
        <w:t xml:space="preserve">A parità di </w:t>
      </w:r>
      <w:r w:rsidR="00B34F01">
        <w:rPr>
          <w:rFonts w:asciiTheme="minorHAnsi" w:hAnsiTheme="minorHAnsi" w:cstheme="minorHAnsi"/>
          <w:b/>
          <w:lang w:val="it-IT"/>
        </w:rPr>
        <w:t>spesa energetica</w:t>
      </w:r>
      <w:r w:rsidRPr="00470DAF">
        <w:rPr>
          <w:rFonts w:asciiTheme="minorHAnsi" w:hAnsiTheme="minorHAnsi" w:cstheme="minorHAnsi"/>
          <w:b/>
          <w:lang w:val="it-IT"/>
        </w:rPr>
        <w:t>, esistono scenari alternativi in grado di ridurre ulteriormente le emissioni?</w:t>
      </w:r>
    </w:p>
    <w:p w14:paraId="074823C4" w14:textId="77777777" w:rsidR="007C33E8" w:rsidRDefault="007C33E8" w:rsidP="00470DAF">
      <w:pPr>
        <w:rPr>
          <w:rFonts w:asciiTheme="minorHAnsi" w:hAnsiTheme="minorHAnsi" w:cstheme="minorHAnsi"/>
          <w:lang w:val="it-IT"/>
        </w:rPr>
      </w:pPr>
    </w:p>
    <w:p w14:paraId="5185E3B0" w14:textId="77777777" w:rsidR="00CF0B24" w:rsidRDefault="00FC359F" w:rsidP="00FC359F">
      <w:pPr>
        <w:rPr>
          <w:rFonts w:asciiTheme="minorHAnsi" w:hAnsiTheme="minorHAnsi" w:cstheme="minorHAnsi"/>
          <w:lang w:val="it-IT"/>
        </w:rPr>
      </w:pPr>
      <w:r w:rsidRPr="00BD0169">
        <w:rPr>
          <w:rFonts w:asciiTheme="minorHAnsi" w:hAnsiTheme="minorHAnsi" w:cstheme="minorHAnsi"/>
          <w:lang w:val="it-IT"/>
        </w:rPr>
        <w:t xml:space="preserve">Secondo i calcoli di Eurac Research il PNIEC è uno scenario valido perché si avvicina </w:t>
      </w:r>
      <w:r>
        <w:rPr>
          <w:rFonts w:asciiTheme="minorHAnsi" w:hAnsiTheme="minorHAnsi" w:cstheme="minorHAnsi"/>
          <w:lang w:val="it-IT"/>
        </w:rPr>
        <w:t>alle soluzioni ottimali proposte dal modello. Tuttavia g</w:t>
      </w:r>
      <w:r w:rsidRPr="00470DAF">
        <w:rPr>
          <w:rFonts w:asciiTheme="minorHAnsi" w:hAnsiTheme="minorHAnsi" w:cstheme="minorHAnsi"/>
          <w:lang w:val="it-IT"/>
        </w:rPr>
        <w:t>li obiettivi europei 2030 non possono essere considerati un traguardo</w:t>
      </w:r>
      <w:r>
        <w:rPr>
          <w:rFonts w:asciiTheme="minorHAnsi" w:hAnsiTheme="minorHAnsi" w:cstheme="minorHAnsi"/>
          <w:lang w:val="it-IT"/>
        </w:rPr>
        <w:t xml:space="preserve"> finale, ma una tappa nel percorso di decarbonizzazione totale</w:t>
      </w:r>
      <w:r w:rsidRPr="00470DAF">
        <w:rPr>
          <w:rFonts w:asciiTheme="minorHAnsi" w:hAnsiTheme="minorHAnsi" w:cstheme="minorHAnsi"/>
          <w:lang w:val="it-IT"/>
        </w:rPr>
        <w:t xml:space="preserve">. Alla conferenza sul clima di Parigi (COP21) l’Italia ha firmato obiettivi ancora più stringenti in termini di emissioni per mantenere l'aumento medio della temperatura globale sotto i </w:t>
      </w:r>
      <w:r>
        <w:rPr>
          <w:rFonts w:asciiTheme="minorHAnsi" w:hAnsiTheme="minorHAnsi" w:cstheme="minorHAnsi"/>
          <w:lang w:val="it-IT"/>
        </w:rPr>
        <w:t>1,5</w:t>
      </w:r>
      <w:r w:rsidRPr="00470DAF">
        <w:rPr>
          <w:rFonts w:asciiTheme="minorHAnsi" w:hAnsiTheme="minorHAnsi" w:cstheme="minorHAnsi"/>
          <w:lang w:val="it-IT"/>
        </w:rPr>
        <w:t xml:space="preserve">°C. I ricercatori hanno quindi utilizzato il loro modello per valutare scenari energetici </w:t>
      </w:r>
      <w:r>
        <w:rPr>
          <w:rFonts w:asciiTheme="minorHAnsi" w:hAnsiTheme="minorHAnsi" w:cstheme="minorHAnsi"/>
          <w:lang w:val="it-IT"/>
        </w:rPr>
        <w:t>più ambiziosi</w:t>
      </w:r>
      <w:r w:rsidRPr="00470DAF">
        <w:rPr>
          <w:rFonts w:asciiTheme="minorHAnsi" w:hAnsiTheme="minorHAnsi" w:cstheme="minorHAnsi"/>
          <w:lang w:val="it-IT"/>
        </w:rPr>
        <w:t>.</w:t>
      </w:r>
      <w:r>
        <w:rPr>
          <w:rFonts w:asciiTheme="minorHAnsi" w:hAnsiTheme="minorHAnsi" w:cstheme="minorHAnsi"/>
          <w:lang w:val="it-IT"/>
        </w:rPr>
        <w:t xml:space="preserve"> </w:t>
      </w:r>
    </w:p>
    <w:p w14:paraId="346B0E29" w14:textId="14E2543D" w:rsidR="00FC359F" w:rsidRDefault="00CF0B24" w:rsidP="00FC359F">
      <w:pPr>
        <w:rPr>
          <w:rFonts w:asciiTheme="minorHAnsi" w:hAnsiTheme="minorHAnsi" w:cstheme="minorHAnsi"/>
          <w:lang w:val="it-IT"/>
        </w:rPr>
      </w:pPr>
      <w:r w:rsidRPr="00CF0B24">
        <w:rPr>
          <w:rFonts w:asciiTheme="minorHAnsi" w:hAnsiTheme="minorHAnsi" w:cstheme="minorHAnsi"/>
          <w:lang w:val="it-IT"/>
        </w:rPr>
        <w:t>Il modello utilizzato nello studio è stato sviluppato da Eurac Research a partire da un software creato dalla Aalborg University. Il modello considera la produzione e il consumo di energia elettrica, termica e dei trasporti a livello orario per un anno intero e permette di combinare produzione e consumi dei vari settori, associando gli effetti dell’efficienza energetica.</w:t>
      </w:r>
      <w:r>
        <w:rPr>
          <w:rFonts w:asciiTheme="minorHAnsi" w:hAnsiTheme="minorHAnsi" w:cstheme="minorHAnsi"/>
          <w:lang w:val="it-IT"/>
        </w:rPr>
        <w:t xml:space="preserve"> </w:t>
      </w:r>
      <w:r w:rsidRPr="00CF0B24">
        <w:rPr>
          <w:rFonts w:asciiTheme="minorHAnsi" w:hAnsiTheme="minorHAnsi" w:cstheme="minorHAnsi"/>
          <w:lang w:val="it-IT"/>
        </w:rPr>
        <w:t>Valuta migliaia di combinazioni possibili per il sistema energetico e sceglie le migliori in termini costi e di emissioni di CO2.</w:t>
      </w:r>
      <w:r>
        <w:rPr>
          <w:rFonts w:asciiTheme="minorHAnsi" w:hAnsiTheme="minorHAnsi" w:cstheme="minorHAnsi"/>
          <w:lang w:val="it-IT"/>
        </w:rPr>
        <w:t xml:space="preserve"> </w:t>
      </w:r>
      <w:r w:rsidR="00FC359F">
        <w:rPr>
          <w:rFonts w:asciiTheme="minorHAnsi" w:hAnsiTheme="minorHAnsi" w:cstheme="minorHAnsi"/>
          <w:lang w:val="it-IT"/>
        </w:rPr>
        <w:t xml:space="preserve">L’ottimo finale non sarà quindi un unico scenario ma una serie di scenari diversi che compongono la </w:t>
      </w:r>
      <w:r w:rsidR="001715C6">
        <w:rPr>
          <w:rFonts w:asciiTheme="minorHAnsi" w:hAnsiTheme="minorHAnsi" w:cstheme="minorHAnsi"/>
          <w:lang w:val="it-IT"/>
        </w:rPr>
        <w:t xml:space="preserve">cosiddetta </w:t>
      </w:r>
      <w:r w:rsidR="00FC359F">
        <w:rPr>
          <w:rFonts w:asciiTheme="minorHAnsi" w:hAnsiTheme="minorHAnsi" w:cstheme="minorHAnsi"/>
          <w:lang w:val="it-IT"/>
        </w:rPr>
        <w:t xml:space="preserve">frontiera di Pareto. Ogni scenario differisce dagli altri per i valori assunti dalle variabili decisionali. Queste sono le fonti che l’algoritmo può variare per trovare soluzioni future migliori per il sistema energetico. Le variabili considerate nello studio di eurac research sono le seguenti: fotovoltaico residenziale (in termini di </w:t>
      </w:r>
      <w:r w:rsidR="00DB02F4">
        <w:rPr>
          <w:rFonts w:asciiTheme="minorHAnsi" w:hAnsiTheme="minorHAnsi" w:cstheme="minorHAnsi"/>
          <w:lang w:val="it-IT"/>
        </w:rPr>
        <w:t>potenza</w:t>
      </w:r>
      <w:r w:rsidR="00FC359F">
        <w:rPr>
          <w:rFonts w:asciiTheme="minorHAnsi" w:hAnsiTheme="minorHAnsi" w:cstheme="minorHAnsi"/>
          <w:lang w:val="it-IT"/>
        </w:rPr>
        <w:t xml:space="preserve"> installata), fotovoltaico a terra (</w:t>
      </w:r>
      <w:r w:rsidR="00DB02F4">
        <w:rPr>
          <w:rFonts w:asciiTheme="minorHAnsi" w:hAnsiTheme="minorHAnsi" w:cstheme="minorHAnsi"/>
          <w:lang w:val="it-IT"/>
        </w:rPr>
        <w:t>potenza installata</w:t>
      </w:r>
      <w:r w:rsidR="00FC359F">
        <w:rPr>
          <w:rFonts w:asciiTheme="minorHAnsi" w:hAnsiTheme="minorHAnsi" w:cstheme="minorHAnsi"/>
          <w:lang w:val="it-IT"/>
        </w:rPr>
        <w:t>)</w:t>
      </w:r>
      <w:r w:rsidR="00DB02F4">
        <w:rPr>
          <w:rFonts w:asciiTheme="minorHAnsi" w:hAnsiTheme="minorHAnsi" w:cstheme="minorHAnsi"/>
          <w:lang w:val="it-IT"/>
        </w:rPr>
        <w:t xml:space="preserve">, eolico (potenza installata), batterie stazionarie al litio (capacità installata), power-to-gas (in termini di </w:t>
      </w:r>
      <w:r w:rsidR="00DB02F4">
        <w:rPr>
          <w:rFonts w:asciiTheme="minorHAnsi" w:hAnsiTheme="minorHAnsi" w:cstheme="minorHAnsi"/>
          <w:lang w:val="it-IT"/>
        </w:rPr>
        <w:lastRenderedPageBreak/>
        <w:t>produzione totale di idrogeno e potenza degli elettrolizzatori), bio-metano avanzato per il settore trasporti (produzione totale annua), pompe di calore (in termini di percentuale di sostituzione delle caldaie tradizionali con pompe di calore negli edifici ristrutturati dal punto di vista energetico), efficientamento energetico degli edifici (come percentuale sul totale del building stock).</w:t>
      </w:r>
    </w:p>
    <w:p w14:paraId="30201C2C" w14:textId="545F6201" w:rsidR="00DB02F4" w:rsidRPr="00470DAF" w:rsidRDefault="00DB02F4" w:rsidP="00FC359F">
      <w:pPr>
        <w:rPr>
          <w:rFonts w:asciiTheme="minorHAnsi" w:hAnsiTheme="minorHAnsi" w:cstheme="minorHAnsi"/>
          <w:lang w:val="it-IT"/>
        </w:rPr>
      </w:pPr>
      <w:r>
        <w:rPr>
          <w:rFonts w:asciiTheme="minorHAnsi" w:hAnsiTheme="minorHAnsi" w:cstheme="minorHAnsi"/>
          <w:lang w:val="it-IT"/>
        </w:rPr>
        <w:t xml:space="preserve">Figura 1 mostra i risultati dell’analisi di ottimizzazione. </w:t>
      </w:r>
      <w:r w:rsidR="00AB56C0">
        <w:rPr>
          <w:rFonts w:asciiTheme="minorHAnsi" w:hAnsiTheme="minorHAnsi" w:cstheme="minorHAnsi"/>
          <w:lang w:val="it-IT"/>
        </w:rPr>
        <w:t xml:space="preserve">La baseline 2015, lo scenario PNIEC 2030 e gli scenari che compongono le frontiere di pareto di soluzioni ottime (considerando una penetrazione di mobilità elettrica pari al 10 e al 20%). </w:t>
      </w:r>
    </w:p>
    <w:p w14:paraId="3D4D071D" w14:textId="77777777" w:rsidR="00FC359F" w:rsidRDefault="00FC359F" w:rsidP="00FC359F">
      <w:pPr>
        <w:keepNext/>
        <w:jc w:val="center"/>
      </w:pPr>
      <w:r>
        <w:rPr>
          <w:rFonts w:asciiTheme="minorHAnsi" w:hAnsiTheme="minorHAnsi" w:cstheme="minorHAnsi"/>
          <w:lang w:val="it-IT"/>
        </w:rPr>
        <w:pict w14:anchorId="037B3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22.9pt">
            <v:imagedata r:id="rId8" o:title="Pareto_front" croptop="6027f" cropbottom="6906f" cropleft="5278f" cropright="7585f"/>
          </v:shape>
        </w:pict>
      </w:r>
    </w:p>
    <w:p w14:paraId="53AED684" w14:textId="365E7BC1" w:rsidR="007C33E8" w:rsidRPr="00FC359F" w:rsidRDefault="00FC359F" w:rsidP="00FC359F">
      <w:pPr>
        <w:pStyle w:val="Caption"/>
        <w:jc w:val="center"/>
        <w:rPr>
          <w:b/>
          <w:lang w:val="it-IT"/>
        </w:rPr>
      </w:pPr>
      <w:r w:rsidRPr="00FC359F">
        <w:rPr>
          <w:lang w:val="it-IT"/>
        </w:rPr>
        <w:t xml:space="preserve">Figure </w:t>
      </w:r>
      <w:r>
        <w:fldChar w:fldCharType="begin"/>
      </w:r>
      <w:r w:rsidRPr="00FC359F">
        <w:rPr>
          <w:lang w:val="it-IT"/>
        </w:rPr>
        <w:instrText xml:space="preserve"> SEQ Figure \* ARABIC </w:instrText>
      </w:r>
      <w:r>
        <w:fldChar w:fldCharType="separate"/>
      </w:r>
      <w:r w:rsidR="00CF0B24">
        <w:rPr>
          <w:noProof/>
          <w:lang w:val="it-IT"/>
        </w:rPr>
        <w:t>1</w:t>
      </w:r>
      <w:r>
        <w:fldChar w:fldCharType="end"/>
      </w:r>
      <w:r w:rsidR="00AB56C0" w:rsidRPr="00AB56C0">
        <w:rPr>
          <w:lang w:val="it-IT"/>
        </w:rPr>
        <w:t xml:space="preserve"> Baseline 2015, scenario PNIEC</w:t>
      </w:r>
      <w:r w:rsidR="00AB56C0">
        <w:rPr>
          <w:lang w:val="it-IT"/>
        </w:rPr>
        <w:t xml:space="preserve"> </w:t>
      </w:r>
      <w:r w:rsidR="00AB56C0" w:rsidRPr="00AB56C0">
        <w:rPr>
          <w:lang w:val="it-IT"/>
        </w:rPr>
        <w:t>e scenari sviluppati da</w:t>
      </w:r>
      <w:r w:rsidR="00AB56C0">
        <w:rPr>
          <w:lang w:val="it-IT"/>
        </w:rPr>
        <w:t>l modello di ottimizzazione di E</w:t>
      </w:r>
      <w:r w:rsidR="00AB56C0" w:rsidRPr="00AB56C0">
        <w:rPr>
          <w:lang w:val="it-IT"/>
        </w:rPr>
        <w:t>urac research.</w:t>
      </w:r>
    </w:p>
    <w:p w14:paraId="7C16CDF1" w14:textId="6A3FA1B1" w:rsidR="00671295" w:rsidRDefault="00470DAF" w:rsidP="00470DAF">
      <w:pPr>
        <w:rPr>
          <w:rFonts w:asciiTheme="minorHAnsi" w:hAnsiTheme="minorHAnsi" w:cstheme="minorHAnsi"/>
          <w:lang w:val="it-IT"/>
        </w:rPr>
      </w:pPr>
      <w:r w:rsidRPr="00470DAF">
        <w:rPr>
          <w:rFonts w:asciiTheme="minorHAnsi" w:hAnsiTheme="minorHAnsi" w:cstheme="minorHAnsi"/>
          <w:lang w:val="it-IT"/>
        </w:rPr>
        <w:t xml:space="preserve">Lo studio di Eurac Research ha individuato </w:t>
      </w:r>
      <w:r w:rsidR="00AB56C0">
        <w:rPr>
          <w:rFonts w:asciiTheme="minorHAnsi" w:hAnsiTheme="minorHAnsi" w:cstheme="minorHAnsi"/>
          <w:lang w:val="it-IT"/>
        </w:rPr>
        <w:t xml:space="preserve">quindi </w:t>
      </w:r>
      <w:r w:rsidRPr="00470DAF">
        <w:rPr>
          <w:rFonts w:asciiTheme="minorHAnsi" w:hAnsiTheme="minorHAnsi" w:cstheme="minorHAnsi"/>
          <w:lang w:val="it-IT"/>
        </w:rPr>
        <w:t>uno scenario alternativo (nominato “</w:t>
      </w:r>
      <w:r w:rsidR="002B4B27">
        <w:rPr>
          <w:rFonts w:asciiTheme="minorHAnsi" w:hAnsiTheme="minorHAnsi" w:cstheme="minorHAnsi"/>
          <w:lang w:val="it-IT"/>
        </w:rPr>
        <w:t>A</w:t>
      </w:r>
      <w:r w:rsidRPr="002B4B27">
        <w:rPr>
          <w:rFonts w:asciiTheme="minorHAnsi" w:hAnsiTheme="minorHAnsi" w:cstheme="minorHAnsi"/>
          <w:lang w:val="it-IT"/>
        </w:rPr>
        <w:t>dvanced 2030</w:t>
      </w:r>
      <w:r w:rsidRPr="00470DAF">
        <w:rPr>
          <w:rFonts w:asciiTheme="minorHAnsi" w:hAnsiTheme="minorHAnsi" w:cstheme="minorHAnsi"/>
          <w:lang w:val="it-IT"/>
        </w:rPr>
        <w:t xml:space="preserve">”) che, a parità di </w:t>
      </w:r>
      <w:r w:rsidR="00550905">
        <w:rPr>
          <w:rFonts w:asciiTheme="minorHAnsi" w:hAnsiTheme="minorHAnsi" w:cstheme="minorHAnsi"/>
          <w:lang w:val="it-IT"/>
        </w:rPr>
        <w:t>costi di sistema</w:t>
      </w:r>
      <w:r w:rsidR="00742ED9">
        <w:rPr>
          <w:rFonts w:asciiTheme="minorHAnsi" w:hAnsiTheme="minorHAnsi" w:cstheme="minorHAnsi"/>
          <w:lang w:val="it-IT"/>
        </w:rPr>
        <w:t xml:space="preserve"> energetico</w:t>
      </w:r>
      <w:r w:rsidRPr="00470DAF">
        <w:rPr>
          <w:rFonts w:asciiTheme="minorHAnsi" w:hAnsiTheme="minorHAnsi" w:cstheme="minorHAnsi"/>
          <w:lang w:val="it-IT"/>
        </w:rPr>
        <w:t>, riduce le emissioni di CO</w:t>
      </w:r>
      <w:r w:rsidRPr="002B4B27">
        <w:rPr>
          <w:rFonts w:asciiTheme="minorHAnsi" w:hAnsiTheme="minorHAnsi" w:cstheme="minorHAnsi"/>
          <w:vertAlign w:val="subscript"/>
          <w:lang w:val="it-IT"/>
        </w:rPr>
        <w:t>2</w:t>
      </w:r>
      <w:r w:rsidRPr="00470DAF">
        <w:rPr>
          <w:rFonts w:asciiTheme="minorHAnsi" w:hAnsiTheme="minorHAnsi" w:cstheme="minorHAnsi"/>
          <w:lang w:val="it-IT"/>
        </w:rPr>
        <w:t xml:space="preserve"> </w:t>
      </w:r>
      <w:r w:rsidR="00201E8A">
        <w:rPr>
          <w:rFonts w:asciiTheme="minorHAnsi" w:hAnsiTheme="minorHAnsi" w:cstheme="minorHAnsi"/>
          <w:lang w:val="it-IT"/>
        </w:rPr>
        <w:t xml:space="preserve">di un ulteriore 10% </w:t>
      </w:r>
      <w:r w:rsidRPr="00470DAF">
        <w:rPr>
          <w:rFonts w:asciiTheme="minorHAnsi" w:hAnsiTheme="minorHAnsi" w:cstheme="minorHAnsi"/>
          <w:lang w:val="it-IT"/>
        </w:rPr>
        <w:t>rispetto allo scenario PNIEC</w:t>
      </w:r>
      <w:r w:rsidR="00671295">
        <w:rPr>
          <w:rFonts w:asciiTheme="minorHAnsi" w:hAnsiTheme="minorHAnsi" w:cstheme="minorHAnsi"/>
          <w:lang w:val="it-IT"/>
        </w:rPr>
        <w:t xml:space="preserve">. Gli interventi che permettono questo risultato </w:t>
      </w:r>
      <w:r w:rsidR="00550905">
        <w:rPr>
          <w:rFonts w:asciiTheme="minorHAnsi" w:hAnsiTheme="minorHAnsi" w:cstheme="minorHAnsi"/>
          <w:lang w:val="it-IT"/>
        </w:rPr>
        <w:t xml:space="preserve">sono cambiamenti in tutti i settori. </w:t>
      </w:r>
      <w:r w:rsidR="00742ED9">
        <w:rPr>
          <w:rFonts w:asciiTheme="minorHAnsi" w:hAnsiTheme="minorHAnsi" w:cstheme="minorHAnsi"/>
          <w:lang w:val="it-IT"/>
        </w:rPr>
        <w:t>Tra i principali,</w:t>
      </w:r>
      <w:r w:rsidR="00671295">
        <w:rPr>
          <w:rFonts w:asciiTheme="minorHAnsi" w:hAnsiTheme="minorHAnsi" w:cstheme="minorHAnsi"/>
          <w:lang w:val="it-IT"/>
        </w:rPr>
        <w:t xml:space="preserve"> un</w:t>
      </w:r>
      <w:r w:rsidRPr="00470DAF">
        <w:rPr>
          <w:rFonts w:asciiTheme="minorHAnsi" w:hAnsiTheme="minorHAnsi" w:cstheme="minorHAnsi"/>
          <w:lang w:val="it-IT"/>
        </w:rPr>
        <w:t xml:space="preserve"> ulteriore aumento delle rinnovabili elettriche (fotovoltaico da </w:t>
      </w:r>
      <w:r w:rsidR="008630C1" w:rsidRPr="00470DAF">
        <w:rPr>
          <w:rFonts w:asciiTheme="minorHAnsi" w:hAnsiTheme="minorHAnsi" w:cstheme="minorHAnsi"/>
          <w:lang w:val="it-IT"/>
        </w:rPr>
        <w:t>5</w:t>
      </w:r>
      <w:r w:rsidR="008630C1">
        <w:rPr>
          <w:rFonts w:asciiTheme="minorHAnsi" w:hAnsiTheme="minorHAnsi" w:cstheme="minorHAnsi"/>
          <w:lang w:val="it-IT"/>
        </w:rPr>
        <w:t>9</w:t>
      </w:r>
      <w:r w:rsidR="008630C1" w:rsidRPr="00470DAF">
        <w:rPr>
          <w:rFonts w:asciiTheme="minorHAnsi" w:hAnsiTheme="minorHAnsi" w:cstheme="minorHAnsi"/>
          <w:lang w:val="it-IT"/>
        </w:rPr>
        <w:t xml:space="preserve"> </w:t>
      </w:r>
      <w:r w:rsidRPr="00470DAF">
        <w:rPr>
          <w:rFonts w:asciiTheme="minorHAnsi" w:hAnsiTheme="minorHAnsi" w:cstheme="minorHAnsi"/>
          <w:lang w:val="it-IT"/>
        </w:rPr>
        <w:t>a 86 gigawatt ed eolico da 23 a 48 gigawatt)</w:t>
      </w:r>
      <w:r w:rsidR="00201E8A">
        <w:rPr>
          <w:rFonts w:asciiTheme="minorHAnsi" w:hAnsiTheme="minorHAnsi" w:cstheme="minorHAnsi"/>
          <w:lang w:val="it-IT"/>
        </w:rPr>
        <w:t xml:space="preserve"> e</w:t>
      </w:r>
      <w:r w:rsidR="00742ED9">
        <w:rPr>
          <w:rFonts w:asciiTheme="minorHAnsi" w:hAnsiTheme="minorHAnsi" w:cstheme="minorHAnsi"/>
          <w:lang w:val="it-IT"/>
        </w:rPr>
        <w:t xml:space="preserve"> un massiccio impegno sul fronte dell’efficienza energetica degli edifici</w:t>
      </w:r>
      <w:r w:rsidR="00550905">
        <w:rPr>
          <w:rFonts w:asciiTheme="minorHAnsi" w:hAnsiTheme="minorHAnsi" w:cstheme="minorHAnsi"/>
          <w:lang w:val="it-IT"/>
        </w:rPr>
        <w:t xml:space="preserve"> </w:t>
      </w:r>
      <w:r w:rsidR="00550905" w:rsidRPr="00A67FD5">
        <w:rPr>
          <w:rFonts w:asciiTheme="minorHAnsi" w:hAnsiTheme="minorHAnsi" w:cstheme="minorHAnsi"/>
          <w:lang w:val="it-IT"/>
        </w:rPr>
        <w:t>(</w:t>
      </w:r>
      <w:r w:rsidR="00742ED9" w:rsidRPr="00A67FD5">
        <w:rPr>
          <w:rFonts w:asciiTheme="minorHAnsi" w:hAnsiTheme="minorHAnsi" w:cstheme="minorHAnsi"/>
          <w:lang w:val="it-IT"/>
        </w:rPr>
        <w:t xml:space="preserve">che dovrebbe portare a risanare il </w:t>
      </w:r>
      <w:r w:rsidR="00550905" w:rsidRPr="00A67FD5">
        <w:rPr>
          <w:rFonts w:asciiTheme="minorHAnsi" w:hAnsiTheme="minorHAnsi" w:cstheme="minorHAnsi"/>
          <w:lang w:val="it-IT"/>
        </w:rPr>
        <w:t>30%</w:t>
      </w:r>
      <w:r w:rsidR="00742ED9" w:rsidRPr="00A67FD5">
        <w:rPr>
          <w:rFonts w:asciiTheme="minorHAnsi" w:hAnsiTheme="minorHAnsi" w:cstheme="minorHAnsi"/>
          <w:lang w:val="it-IT"/>
        </w:rPr>
        <w:t xml:space="preserve"> degli edifici</w:t>
      </w:r>
      <w:r w:rsidR="00550905">
        <w:rPr>
          <w:rFonts w:asciiTheme="minorHAnsi" w:hAnsiTheme="minorHAnsi" w:cstheme="minorHAnsi"/>
          <w:lang w:val="it-IT"/>
        </w:rPr>
        <w:t>)</w:t>
      </w:r>
      <w:r w:rsidR="00201E8A">
        <w:rPr>
          <w:rFonts w:asciiTheme="minorHAnsi" w:hAnsiTheme="minorHAnsi" w:cstheme="minorHAnsi"/>
          <w:lang w:val="it-IT"/>
        </w:rPr>
        <w:t xml:space="preserve">. </w:t>
      </w:r>
      <w:r w:rsidR="00742ED9">
        <w:rPr>
          <w:rFonts w:asciiTheme="minorHAnsi" w:hAnsiTheme="minorHAnsi" w:cstheme="minorHAnsi"/>
          <w:lang w:val="it-IT"/>
        </w:rPr>
        <w:t xml:space="preserve">Questo scenario prevede inoltre </w:t>
      </w:r>
      <w:r w:rsidRPr="00470DAF">
        <w:rPr>
          <w:rFonts w:asciiTheme="minorHAnsi" w:hAnsiTheme="minorHAnsi" w:cstheme="minorHAnsi"/>
          <w:lang w:val="it-IT"/>
        </w:rPr>
        <w:t xml:space="preserve">una forte spinta della mobilità elettrica (stimata al </w:t>
      </w:r>
      <w:r w:rsidRPr="002B4B27">
        <w:rPr>
          <w:rFonts w:asciiTheme="minorHAnsi" w:hAnsiTheme="minorHAnsi" w:cstheme="minorHAnsi"/>
          <w:lang w:val="it-IT"/>
        </w:rPr>
        <w:t>20% del totale</w:t>
      </w:r>
      <w:r w:rsidR="002B4B27">
        <w:rPr>
          <w:rFonts w:asciiTheme="minorHAnsi" w:hAnsiTheme="minorHAnsi" w:cstheme="minorHAnsi"/>
          <w:lang w:val="it-IT"/>
        </w:rPr>
        <w:t xml:space="preserve"> dei veicoli</w:t>
      </w:r>
      <w:r w:rsidRPr="00470DAF">
        <w:rPr>
          <w:rFonts w:asciiTheme="minorHAnsi" w:hAnsiTheme="minorHAnsi" w:cstheme="minorHAnsi"/>
          <w:lang w:val="it-IT"/>
        </w:rPr>
        <w:t>)</w:t>
      </w:r>
      <w:r w:rsidR="00742ED9">
        <w:rPr>
          <w:rFonts w:asciiTheme="minorHAnsi" w:hAnsiTheme="minorHAnsi" w:cstheme="minorHAnsi"/>
          <w:lang w:val="it-IT"/>
        </w:rPr>
        <w:t xml:space="preserve">, portando </w:t>
      </w:r>
      <w:r w:rsidR="00201E8A">
        <w:rPr>
          <w:rFonts w:asciiTheme="minorHAnsi" w:hAnsiTheme="minorHAnsi" w:cstheme="minorHAnsi"/>
          <w:lang w:val="it-IT"/>
        </w:rPr>
        <w:t xml:space="preserve">lo stoccaggio </w:t>
      </w:r>
      <w:r w:rsidR="00742ED9">
        <w:rPr>
          <w:rFonts w:asciiTheme="minorHAnsi" w:hAnsiTheme="minorHAnsi" w:cstheme="minorHAnsi"/>
          <w:lang w:val="it-IT"/>
        </w:rPr>
        <w:t xml:space="preserve">energetico </w:t>
      </w:r>
      <w:r w:rsidR="00201E8A">
        <w:rPr>
          <w:rFonts w:asciiTheme="minorHAnsi" w:hAnsiTheme="minorHAnsi" w:cstheme="minorHAnsi"/>
          <w:lang w:val="it-IT"/>
        </w:rPr>
        <w:t>presente nelle vetture a valori importanti</w:t>
      </w:r>
      <w:r w:rsidR="00742ED9">
        <w:rPr>
          <w:rFonts w:asciiTheme="minorHAnsi" w:hAnsiTheme="minorHAnsi" w:cstheme="minorHAnsi"/>
          <w:lang w:val="it-IT"/>
        </w:rPr>
        <w:t xml:space="preserve"> e</w:t>
      </w:r>
      <w:r w:rsidR="00201E8A">
        <w:rPr>
          <w:rFonts w:asciiTheme="minorHAnsi" w:hAnsiTheme="minorHAnsi" w:cstheme="minorHAnsi"/>
          <w:lang w:val="it-IT"/>
        </w:rPr>
        <w:t xml:space="preserve"> riducendo la necessità di stoccaggi </w:t>
      </w:r>
      <w:r w:rsidR="009C395B">
        <w:rPr>
          <w:rFonts w:asciiTheme="minorHAnsi" w:hAnsiTheme="minorHAnsi" w:cstheme="minorHAnsi"/>
          <w:lang w:val="it-IT"/>
        </w:rPr>
        <w:t>fissi</w:t>
      </w:r>
      <w:r w:rsidR="009062C7">
        <w:rPr>
          <w:rFonts w:asciiTheme="minorHAnsi" w:hAnsiTheme="minorHAnsi" w:cstheme="minorHAnsi"/>
          <w:lang w:val="it-IT"/>
        </w:rPr>
        <w:t>.</w:t>
      </w:r>
    </w:p>
    <w:p w14:paraId="71D70E6F" w14:textId="0656DBDF" w:rsidR="00470DAF" w:rsidRPr="00470DAF" w:rsidRDefault="009062C7" w:rsidP="00470DAF">
      <w:pPr>
        <w:rPr>
          <w:rFonts w:asciiTheme="minorHAnsi" w:hAnsiTheme="minorHAnsi" w:cstheme="minorHAnsi"/>
          <w:lang w:val="it-IT"/>
        </w:rPr>
      </w:pPr>
      <w:r>
        <w:rPr>
          <w:rFonts w:asciiTheme="minorHAnsi" w:hAnsiTheme="minorHAnsi" w:cstheme="minorHAnsi"/>
          <w:lang w:val="it-IT"/>
        </w:rPr>
        <w:t xml:space="preserve"> </w:t>
      </w:r>
      <w:r w:rsidR="00201E8A">
        <w:rPr>
          <w:rFonts w:asciiTheme="minorHAnsi" w:hAnsiTheme="minorHAnsi" w:cstheme="minorHAnsi"/>
          <w:lang w:val="it-IT"/>
        </w:rPr>
        <w:t xml:space="preserve">“Si tratta di obiettivi molto ambiziosi, ma il nostro studio mostra che fare meglio in termini di emissioni inquinanti è soprattutto una grande opportunità economica, al momento ancora poco sfruttata” afferma Wolfram Sparber, direttore dell’Istituto per energie rinnovabili di Eurac Research.  Lo scenario individuato dai ricercatori riduce infatti i costi legati all’importazione di combustibili fossili di oltre 7,3 miliardi all’anno rispetto alla situazione attuale. Sono risorse che possono essere investite nella produzione di energia rinnovabile in loco e soprattutto nell’efficientamento energetico degli edifici, creando posti di lavoro e sostenendo l’economia locale. </w:t>
      </w:r>
    </w:p>
    <w:p w14:paraId="6251B334" w14:textId="77777777" w:rsidR="00470DAF" w:rsidRDefault="00470DAF" w:rsidP="00470DAF">
      <w:pPr>
        <w:rPr>
          <w:rFonts w:asciiTheme="minorHAnsi" w:hAnsiTheme="minorHAnsi" w:cstheme="minorHAnsi"/>
          <w:lang w:val="it-IT"/>
        </w:rPr>
      </w:pPr>
    </w:p>
    <w:p w14:paraId="49C66A06" w14:textId="77777777" w:rsidR="001715C6" w:rsidRDefault="001715C6" w:rsidP="00470DAF">
      <w:pPr>
        <w:rPr>
          <w:rFonts w:asciiTheme="minorHAnsi" w:hAnsiTheme="minorHAnsi" w:cstheme="minorHAnsi"/>
          <w:lang w:val="it-IT"/>
        </w:rPr>
      </w:pPr>
    </w:p>
    <w:p w14:paraId="5BDE350E" w14:textId="77777777" w:rsidR="001715C6" w:rsidRPr="00470DAF" w:rsidRDefault="001715C6" w:rsidP="00470DAF">
      <w:pPr>
        <w:rPr>
          <w:rFonts w:asciiTheme="minorHAnsi" w:hAnsiTheme="minorHAnsi" w:cstheme="minorHAnsi"/>
          <w:lang w:val="it-IT"/>
        </w:rPr>
      </w:pPr>
    </w:p>
    <w:p w14:paraId="7354CDE5" w14:textId="345CB691" w:rsidR="00470DAF" w:rsidRPr="00470DAF" w:rsidRDefault="00470DAF" w:rsidP="00470DAF">
      <w:pPr>
        <w:rPr>
          <w:rFonts w:asciiTheme="minorHAnsi" w:hAnsiTheme="minorHAnsi" w:cstheme="minorHAnsi"/>
          <w:b/>
          <w:lang w:val="it-IT"/>
        </w:rPr>
      </w:pPr>
      <w:r w:rsidRPr="00470DAF">
        <w:rPr>
          <w:rFonts w:asciiTheme="minorHAnsi" w:hAnsiTheme="minorHAnsi" w:cstheme="minorHAnsi"/>
          <w:b/>
          <w:lang w:val="it-IT"/>
        </w:rPr>
        <w:lastRenderedPageBreak/>
        <w:t>Quali considerazioni emergono da questo scenario?</w:t>
      </w:r>
    </w:p>
    <w:p w14:paraId="1B518E1D" w14:textId="741273BC" w:rsidR="00A656ED" w:rsidRDefault="00A656ED" w:rsidP="0077428C">
      <w:pPr>
        <w:rPr>
          <w:rFonts w:asciiTheme="minorHAnsi" w:hAnsiTheme="minorHAnsi" w:cstheme="minorHAnsi"/>
          <w:lang w:val="it-IT"/>
        </w:rPr>
      </w:pPr>
      <w:r>
        <w:rPr>
          <w:rFonts w:asciiTheme="minorHAnsi" w:hAnsiTheme="minorHAnsi" w:cstheme="minorHAnsi"/>
          <w:lang w:val="it-IT"/>
        </w:rPr>
        <w:t>Per avviare la</w:t>
      </w:r>
      <w:r w:rsidR="00470DAF" w:rsidRPr="0077428C">
        <w:rPr>
          <w:rFonts w:asciiTheme="minorHAnsi" w:hAnsiTheme="minorHAnsi" w:cstheme="minorHAnsi"/>
          <w:lang w:val="it-IT"/>
        </w:rPr>
        <w:t xml:space="preserve"> transizione energetica </w:t>
      </w:r>
      <w:r>
        <w:rPr>
          <w:rFonts w:asciiTheme="minorHAnsi" w:hAnsiTheme="minorHAnsi" w:cstheme="minorHAnsi"/>
          <w:lang w:val="it-IT"/>
        </w:rPr>
        <w:t xml:space="preserve">è necessario intervenire in tutti i settori: </w:t>
      </w:r>
      <w:r w:rsidR="00937F9F">
        <w:rPr>
          <w:rFonts w:asciiTheme="minorHAnsi" w:hAnsiTheme="minorHAnsi" w:cstheme="minorHAnsi"/>
          <w:lang w:val="it-IT"/>
        </w:rPr>
        <w:t>aumentare la quota di energia prodotta da fonti rinnovabili è un ottimo strumento per diminuire le emissioni, ma è importante anche ridurre e</w:t>
      </w:r>
      <w:r>
        <w:rPr>
          <w:rFonts w:asciiTheme="minorHAnsi" w:hAnsiTheme="minorHAnsi" w:cstheme="minorHAnsi"/>
          <w:lang w:val="it-IT"/>
        </w:rPr>
        <w:t xml:space="preserve"> rendere più efficienti i consumi</w:t>
      </w:r>
      <w:r w:rsidR="00937F9F">
        <w:rPr>
          <w:rFonts w:asciiTheme="minorHAnsi" w:hAnsiTheme="minorHAnsi" w:cstheme="minorHAnsi"/>
          <w:lang w:val="it-IT"/>
        </w:rPr>
        <w:t>, in particolare quelli legati agli edifici e all’industria.</w:t>
      </w:r>
    </w:p>
    <w:p w14:paraId="06199499" w14:textId="18FAF971" w:rsidR="00A221B6" w:rsidRDefault="00937F9F" w:rsidP="0077428C">
      <w:pPr>
        <w:rPr>
          <w:rFonts w:asciiTheme="minorHAnsi" w:hAnsiTheme="minorHAnsi" w:cstheme="minorHAnsi"/>
          <w:lang w:val="it-IT"/>
        </w:rPr>
      </w:pPr>
      <w:r>
        <w:rPr>
          <w:rFonts w:asciiTheme="minorHAnsi" w:hAnsiTheme="minorHAnsi" w:cstheme="minorHAnsi"/>
          <w:lang w:val="it-IT"/>
        </w:rPr>
        <w:t xml:space="preserve">In questa cornice, lo studio di Eurac Research mostra anche come la </w:t>
      </w:r>
      <w:r w:rsidR="0077428C">
        <w:rPr>
          <w:rFonts w:asciiTheme="minorHAnsi" w:hAnsiTheme="minorHAnsi" w:cstheme="minorHAnsi"/>
          <w:lang w:val="it-IT"/>
        </w:rPr>
        <w:t xml:space="preserve">mobilità elettrica </w:t>
      </w:r>
      <w:r w:rsidR="00470DAF" w:rsidRPr="0077428C">
        <w:rPr>
          <w:rFonts w:asciiTheme="minorHAnsi" w:hAnsiTheme="minorHAnsi" w:cstheme="minorHAnsi"/>
          <w:lang w:val="it-IT"/>
        </w:rPr>
        <w:t xml:space="preserve">e </w:t>
      </w:r>
      <w:r>
        <w:rPr>
          <w:rFonts w:asciiTheme="minorHAnsi" w:hAnsiTheme="minorHAnsi" w:cstheme="minorHAnsi"/>
          <w:lang w:val="it-IT"/>
        </w:rPr>
        <w:t xml:space="preserve">le </w:t>
      </w:r>
      <w:r w:rsidR="00470DAF" w:rsidRPr="0077428C">
        <w:rPr>
          <w:rFonts w:asciiTheme="minorHAnsi" w:hAnsiTheme="minorHAnsi" w:cstheme="minorHAnsi"/>
          <w:lang w:val="it-IT"/>
        </w:rPr>
        <w:t>rinnovabili destinate alla produzione di energia elettrica (fotovoltaico ed eolico) s</w:t>
      </w:r>
      <w:r>
        <w:rPr>
          <w:rFonts w:asciiTheme="minorHAnsi" w:hAnsiTheme="minorHAnsi" w:cstheme="minorHAnsi"/>
          <w:lang w:val="it-IT"/>
        </w:rPr>
        <w:t>ia</w:t>
      </w:r>
      <w:r w:rsidR="00470DAF" w:rsidRPr="0077428C">
        <w:rPr>
          <w:rFonts w:asciiTheme="minorHAnsi" w:hAnsiTheme="minorHAnsi" w:cstheme="minorHAnsi"/>
          <w:lang w:val="it-IT"/>
        </w:rPr>
        <w:t xml:space="preserve">no settori </w:t>
      </w:r>
      <w:r>
        <w:rPr>
          <w:rFonts w:asciiTheme="minorHAnsi" w:hAnsiTheme="minorHAnsi" w:cstheme="minorHAnsi"/>
          <w:lang w:val="it-IT"/>
        </w:rPr>
        <w:t>che potrebbero essere spinti più di quanto previsto dal PNIEC</w:t>
      </w:r>
      <w:r w:rsidR="00A221B6">
        <w:rPr>
          <w:rFonts w:asciiTheme="minorHAnsi" w:hAnsiTheme="minorHAnsi" w:cstheme="minorHAnsi"/>
          <w:lang w:val="it-IT"/>
        </w:rPr>
        <w:t>, anche perché potenzialmente in grado di generare un maggiore valore aggiunto per l’economia locale.</w:t>
      </w:r>
      <w:r w:rsidR="00AB56C0">
        <w:rPr>
          <w:rFonts w:asciiTheme="minorHAnsi" w:hAnsiTheme="minorHAnsi" w:cstheme="minorHAnsi"/>
          <w:lang w:val="it-IT"/>
        </w:rPr>
        <w:t xml:space="preserve"> Figura 2 mostra proprio come passando dalla baseline 2015 allo scenario Advanced 2030 la spesa diretta esternamente per l’approvvigionamento dei combustibili fossili diminuisca</w:t>
      </w:r>
      <w:r w:rsidR="00CF0B24">
        <w:rPr>
          <w:rFonts w:asciiTheme="minorHAnsi" w:hAnsiTheme="minorHAnsi" w:cstheme="minorHAnsi"/>
          <w:lang w:val="it-IT"/>
        </w:rPr>
        <w:t xml:space="preserve"> e come crescano gli investimenti sul territorio che possono rivelarsi un valore aggiunto per l’economia nazionale. All’interno di questi ultimi, ad esempio, rientrano gli investimenti per l’energia rinnovabile, per l’efficientamento energetico degli edifici e per tutta l’infrastruttura del sistema energetico.</w:t>
      </w:r>
    </w:p>
    <w:p w14:paraId="12B5A278" w14:textId="77777777" w:rsidR="00CF0B24" w:rsidRDefault="00CF0B24" w:rsidP="0077428C">
      <w:pPr>
        <w:rPr>
          <w:rFonts w:asciiTheme="minorHAnsi" w:hAnsiTheme="minorHAnsi" w:cstheme="minorHAnsi"/>
          <w:lang w:val="it-IT"/>
        </w:rPr>
      </w:pPr>
    </w:p>
    <w:p w14:paraId="58129DAD" w14:textId="77777777" w:rsidR="00AB56C0" w:rsidRDefault="00AB56C0" w:rsidP="00AB56C0">
      <w:pPr>
        <w:keepNext/>
        <w:jc w:val="center"/>
      </w:pPr>
      <w:r>
        <w:rPr>
          <w:rFonts w:asciiTheme="minorHAnsi" w:hAnsiTheme="minorHAnsi" w:cstheme="minorHAnsi"/>
          <w:lang w:val="it-IT"/>
        </w:rPr>
        <w:pict w14:anchorId="3AC609DD">
          <v:shape id="_x0000_i1026" type="#_x0000_t75" style="width:492.5pt;height:184.6pt">
            <v:imagedata r:id="rId9" o:title="Expenditures_1" croptop="4880f" cropbottom="17016f"/>
          </v:shape>
        </w:pict>
      </w:r>
    </w:p>
    <w:p w14:paraId="262B01A2" w14:textId="3D5FC6B8" w:rsidR="00AB56C0" w:rsidRPr="00AB56C0" w:rsidRDefault="00AB56C0" w:rsidP="00AB56C0">
      <w:pPr>
        <w:pStyle w:val="Caption"/>
        <w:jc w:val="center"/>
        <w:rPr>
          <w:rFonts w:asciiTheme="minorHAnsi" w:hAnsiTheme="minorHAnsi" w:cstheme="minorHAnsi"/>
          <w:lang w:val="it-IT"/>
        </w:rPr>
      </w:pPr>
      <w:r w:rsidRPr="00AB56C0">
        <w:rPr>
          <w:lang w:val="it-IT"/>
        </w:rPr>
        <w:t xml:space="preserve">Figure </w:t>
      </w:r>
      <w:r>
        <w:fldChar w:fldCharType="begin"/>
      </w:r>
      <w:r w:rsidRPr="00AB56C0">
        <w:rPr>
          <w:lang w:val="it-IT"/>
        </w:rPr>
        <w:instrText xml:space="preserve"> SEQ Figure \* ARABIC </w:instrText>
      </w:r>
      <w:r>
        <w:fldChar w:fldCharType="separate"/>
      </w:r>
      <w:r w:rsidR="00CF0B24">
        <w:rPr>
          <w:noProof/>
          <w:lang w:val="it-IT"/>
        </w:rPr>
        <w:t>2</w:t>
      </w:r>
      <w:r>
        <w:fldChar w:fldCharType="end"/>
      </w:r>
      <w:r w:rsidRPr="00AB56C0">
        <w:rPr>
          <w:lang w:val="it-IT"/>
        </w:rPr>
        <w:t xml:space="preserve"> Confronto sulla natura </w:t>
      </w:r>
      <w:r>
        <w:rPr>
          <w:lang w:val="it-IT"/>
        </w:rPr>
        <w:t>dei</w:t>
      </w:r>
      <w:r w:rsidRPr="00AB56C0">
        <w:rPr>
          <w:lang w:val="it-IT"/>
        </w:rPr>
        <w:t xml:space="preserve"> costi totali annui del sistema energetico per la baseline 2015 e i due scenari considerati: PNIEC 2030 e Advanced 2030. </w:t>
      </w:r>
    </w:p>
    <w:p w14:paraId="6C144A74" w14:textId="5FA87D49" w:rsidR="00470DAF" w:rsidRPr="0077428C" w:rsidRDefault="00470DAF" w:rsidP="00470DAF">
      <w:pPr>
        <w:rPr>
          <w:rFonts w:asciiTheme="minorHAnsi" w:hAnsiTheme="minorHAnsi" w:cstheme="minorHAnsi"/>
          <w:lang w:val="it-IT"/>
        </w:rPr>
      </w:pPr>
      <w:r w:rsidRPr="0077428C">
        <w:rPr>
          <w:rFonts w:asciiTheme="minorHAnsi" w:hAnsiTheme="minorHAnsi" w:cstheme="minorHAnsi"/>
          <w:lang w:val="it-IT"/>
        </w:rPr>
        <w:t>Per quanto riguarda la mobilità elettrica</w:t>
      </w:r>
      <w:r w:rsidR="005D29AC">
        <w:rPr>
          <w:rFonts w:asciiTheme="minorHAnsi" w:hAnsiTheme="minorHAnsi" w:cstheme="minorHAnsi"/>
          <w:lang w:val="it-IT"/>
        </w:rPr>
        <w:t>, l</w:t>
      </w:r>
      <w:r w:rsidRPr="0077428C">
        <w:rPr>
          <w:rFonts w:asciiTheme="minorHAnsi" w:hAnsiTheme="minorHAnsi" w:cstheme="minorHAnsi"/>
          <w:lang w:val="it-IT"/>
        </w:rPr>
        <w:t xml:space="preserve">e esperienze dei paesi nord europei mostrano che </w:t>
      </w:r>
      <w:r w:rsidR="005D29AC">
        <w:rPr>
          <w:rFonts w:asciiTheme="minorHAnsi" w:hAnsiTheme="minorHAnsi" w:cstheme="minorHAnsi"/>
          <w:lang w:val="it-IT"/>
        </w:rPr>
        <w:t>sviluppare</w:t>
      </w:r>
      <w:r w:rsidRPr="0077428C">
        <w:rPr>
          <w:rFonts w:asciiTheme="minorHAnsi" w:hAnsiTheme="minorHAnsi" w:cstheme="minorHAnsi"/>
          <w:lang w:val="it-IT"/>
        </w:rPr>
        <w:t xml:space="preserve"> questo settore è possibile</w:t>
      </w:r>
      <w:r w:rsidR="005D29AC">
        <w:rPr>
          <w:rFonts w:asciiTheme="minorHAnsi" w:hAnsiTheme="minorHAnsi" w:cstheme="minorHAnsi"/>
          <w:lang w:val="it-IT"/>
        </w:rPr>
        <w:t xml:space="preserve"> anche in un arco temporale relativamente contenuto.</w:t>
      </w:r>
    </w:p>
    <w:p w14:paraId="61793368" w14:textId="61051BD2" w:rsidR="00470DAF" w:rsidRPr="0077428C" w:rsidRDefault="00470DAF" w:rsidP="00470DAF">
      <w:pPr>
        <w:rPr>
          <w:rFonts w:asciiTheme="minorHAnsi" w:hAnsiTheme="minorHAnsi" w:cstheme="minorHAnsi"/>
          <w:lang w:val="it-IT"/>
        </w:rPr>
      </w:pPr>
      <w:r w:rsidRPr="0077428C">
        <w:rPr>
          <w:rFonts w:asciiTheme="minorHAnsi" w:hAnsiTheme="minorHAnsi" w:cstheme="minorHAnsi"/>
          <w:lang w:val="it-IT"/>
        </w:rPr>
        <w:t>Una cornice normativa che sappia combinare incentivi per l’acquisto dei veicoli elettrici e sgravi per il loro utilizzo - insieme a un adeguamento dell’infrastruttura di ricarica - farebbe la differenza nella decarbonizzazione del Paese, senza stravolgere i costi dell’intero sistema.</w:t>
      </w:r>
    </w:p>
    <w:p w14:paraId="1AAE76CB" w14:textId="423F477B" w:rsidR="005D29AC" w:rsidRDefault="005D29AC" w:rsidP="00470DAF">
      <w:pPr>
        <w:rPr>
          <w:rFonts w:asciiTheme="minorHAnsi" w:hAnsiTheme="minorHAnsi" w:cstheme="minorHAnsi"/>
          <w:lang w:val="it-IT"/>
        </w:rPr>
      </w:pPr>
      <w:r>
        <w:rPr>
          <w:rFonts w:asciiTheme="minorHAnsi" w:hAnsiTheme="minorHAnsi" w:cstheme="minorHAnsi"/>
          <w:lang w:val="it-IT"/>
        </w:rPr>
        <w:t xml:space="preserve">Anche nel settore delle </w:t>
      </w:r>
      <w:r w:rsidR="00470DAF" w:rsidRPr="0077428C">
        <w:rPr>
          <w:rFonts w:asciiTheme="minorHAnsi" w:hAnsiTheme="minorHAnsi" w:cstheme="minorHAnsi"/>
          <w:lang w:val="it-IT"/>
        </w:rPr>
        <w:t xml:space="preserve">rinnovabili elettriche (fotovoltaico ed eolico) </w:t>
      </w:r>
      <w:r>
        <w:rPr>
          <w:rFonts w:asciiTheme="minorHAnsi" w:hAnsiTheme="minorHAnsi" w:cstheme="minorHAnsi"/>
          <w:lang w:val="it-IT"/>
        </w:rPr>
        <w:t>un notevole impulso potrebbe venire dal legislatore. Il mercato ad oggi è piuttosto fermo ma il problema sembra più legato alla complessa burocrazia e alla mancanza di una regolamentazione stabile, che alla scarsità di domanda.</w:t>
      </w:r>
    </w:p>
    <w:p w14:paraId="2A07EA2A" w14:textId="77777777" w:rsidR="005D29AC" w:rsidRDefault="005D29AC" w:rsidP="00470DAF">
      <w:pPr>
        <w:rPr>
          <w:rFonts w:asciiTheme="minorHAnsi" w:hAnsiTheme="minorHAnsi" w:cstheme="minorHAnsi"/>
          <w:lang w:val="it-IT"/>
        </w:rPr>
      </w:pPr>
    </w:p>
    <w:p w14:paraId="1F22C85B" w14:textId="77777777" w:rsidR="00470DAF" w:rsidRPr="002833DE" w:rsidRDefault="00470DAF" w:rsidP="00470DAF">
      <w:pPr>
        <w:rPr>
          <w:rFonts w:asciiTheme="minorHAnsi" w:hAnsiTheme="minorHAnsi" w:cstheme="minorHAnsi"/>
          <w:b/>
          <w:lang w:val="it-IT"/>
        </w:rPr>
      </w:pPr>
      <w:r w:rsidRPr="002833DE">
        <w:rPr>
          <w:rFonts w:asciiTheme="minorHAnsi" w:hAnsiTheme="minorHAnsi" w:cstheme="minorHAnsi"/>
          <w:b/>
          <w:lang w:val="it-IT"/>
        </w:rPr>
        <w:t>Il carbon budget dell’Italia. Quante tonnellate di CO2 possiamo ancora emettere?</w:t>
      </w:r>
    </w:p>
    <w:p w14:paraId="14EFE4FF" w14:textId="404C999F" w:rsidR="004705B2" w:rsidRPr="004705B2" w:rsidRDefault="00ED3FD1" w:rsidP="004705B2">
      <w:pPr>
        <w:rPr>
          <w:rFonts w:asciiTheme="minorHAnsi" w:hAnsiTheme="minorHAnsi" w:cstheme="minorHAnsi"/>
          <w:lang w:val="it-IT"/>
        </w:rPr>
      </w:pPr>
      <w:r>
        <w:rPr>
          <w:rFonts w:asciiTheme="minorHAnsi" w:hAnsiTheme="minorHAnsi" w:cstheme="minorHAnsi"/>
          <w:lang w:val="it-IT"/>
        </w:rPr>
        <w:t>P</w:t>
      </w:r>
      <w:r w:rsidR="004705B2" w:rsidRPr="004705B2">
        <w:rPr>
          <w:rFonts w:asciiTheme="minorHAnsi" w:hAnsiTheme="minorHAnsi" w:cstheme="minorHAnsi"/>
          <w:lang w:val="it-IT"/>
        </w:rPr>
        <w:t>er avere il 50% di probabilità di mantenere l’aumento medio della temperatura globale sotto 1.5°C, la popolazione mondiale potrà emettere ancora</w:t>
      </w:r>
      <w:r>
        <w:rPr>
          <w:rFonts w:asciiTheme="minorHAnsi" w:hAnsiTheme="minorHAnsi" w:cstheme="minorHAnsi"/>
          <w:lang w:val="it-IT"/>
        </w:rPr>
        <w:t xml:space="preserve"> </w:t>
      </w:r>
      <w:r w:rsidR="00010266">
        <w:rPr>
          <w:rFonts w:asciiTheme="minorHAnsi" w:hAnsiTheme="minorHAnsi" w:cstheme="minorHAnsi"/>
          <w:lang w:val="it-IT"/>
        </w:rPr>
        <w:t>480</w:t>
      </w:r>
      <w:r w:rsidR="00010266" w:rsidRPr="004705B2">
        <w:rPr>
          <w:rFonts w:asciiTheme="minorHAnsi" w:hAnsiTheme="minorHAnsi" w:cstheme="minorHAnsi"/>
          <w:lang w:val="it-IT"/>
        </w:rPr>
        <w:t xml:space="preserve"> miliardi di tonnellate </w:t>
      </w:r>
      <w:r w:rsidR="004705B2" w:rsidRPr="004705B2">
        <w:rPr>
          <w:rFonts w:asciiTheme="minorHAnsi" w:hAnsiTheme="minorHAnsi" w:cstheme="minorHAnsi"/>
          <w:lang w:val="it-IT"/>
        </w:rPr>
        <w:t xml:space="preserve">di CO2. </w:t>
      </w:r>
      <w:r>
        <w:rPr>
          <w:rFonts w:asciiTheme="minorHAnsi" w:hAnsiTheme="minorHAnsi" w:cstheme="minorHAnsi"/>
          <w:lang w:val="it-IT"/>
        </w:rPr>
        <w:t>In base a questo calcolo,</w:t>
      </w:r>
      <w:r w:rsidR="009448A0">
        <w:rPr>
          <w:rFonts w:asciiTheme="minorHAnsi" w:hAnsiTheme="minorHAnsi" w:cstheme="minorHAnsi"/>
          <w:lang w:val="it-IT"/>
        </w:rPr>
        <w:t xml:space="preserve"> pubblicato da </w:t>
      </w:r>
      <w:r w:rsidRPr="007C33E8">
        <w:rPr>
          <w:rFonts w:asciiTheme="minorHAnsi" w:hAnsiTheme="minorHAnsi" w:cstheme="minorHAnsi"/>
          <w:lang w:val="it-IT"/>
        </w:rPr>
        <w:t>Nature a luglio 2019</w:t>
      </w:r>
      <w:r>
        <w:rPr>
          <w:rFonts w:asciiTheme="minorHAnsi" w:hAnsiTheme="minorHAnsi" w:cstheme="minorHAnsi"/>
          <w:lang w:val="it-IT"/>
        </w:rPr>
        <w:t>, c</w:t>
      </w:r>
      <w:r w:rsidR="004705B2" w:rsidRPr="004705B2">
        <w:rPr>
          <w:rFonts w:asciiTheme="minorHAnsi" w:hAnsiTheme="minorHAnsi" w:cstheme="minorHAnsi"/>
          <w:lang w:val="it-IT"/>
        </w:rPr>
        <w:t>onsiderando il numero di abitanti di ogni paese</w:t>
      </w:r>
      <w:r>
        <w:rPr>
          <w:rFonts w:asciiTheme="minorHAnsi" w:hAnsiTheme="minorHAnsi" w:cstheme="minorHAnsi"/>
          <w:lang w:val="it-IT"/>
        </w:rPr>
        <w:t xml:space="preserve"> </w:t>
      </w:r>
      <w:r w:rsidR="004705B2" w:rsidRPr="004705B2">
        <w:rPr>
          <w:rFonts w:asciiTheme="minorHAnsi" w:hAnsiTheme="minorHAnsi" w:cstheme="minorHAnsi"/>
          <w:lang w:val="it-IT"/>
        </w:rPr>
        <w:t>la quantità di CO</w:t>
      </w:r>
      <w:r w:rsidR="004705B2" w:rsidRPr="004705B2">
        <w:rPr>
          <w:rFonts w:asciiTheme="minorHAnsi" w:hAnsiTheme="minorHAnsi" w:cstheme="minorHAnsi"/>
          <w:vertAlign w:val="subscript"/>
          <w:lang w:val="it-IT"/>
        </w:rPr>
        <w:t>2</w:t>
      </w:r>
      <w:r w:rsidR="004705B2" w:rsidRPr="004705B2">
        <w:rPr>
          <w:rFonts w:asciiTheme="minorHAnsi" w:hAnsiTheme="minorHAnsi" w:cstheme="minorHAnsi"/>
          <w:lang w:val="it-IT"/>
        </w:rPr>
        <w:t xml:space="preserve"> che l’Italia potrebbe ancora emettere è</w:t>
      </w:r>
      <w:r w:rsidR="00840221">
        <w:rPr>
          <w:rFonts w:asciiTheme="minorHAnsi" w:hAnsiTheme="minorHAnsi" w:cstheme="minorHAnsi"/>
          <w:lang w:val="it-IT"/>
        </w:rPr>
        <w:t xml:space="preserve"> </w:t>
      </w:r>
      <w:r w:rsidR="00010266">
        <w:rPr>
          <w:rFonts w:asciiTheme="minorHAnsi" w:hAnsiTheme="minorHAnsi" w:cstheme="minorHAnsi"/>
          <w:lang w:val="it-IT"/>
        </w:rPr>
        <w:t>3,8 miliardi di tonnellate</w:t>
      </w:r>
      <w:r w:rsidR="004705B2" w:rsidRPr="004705B2">
        <w:rPr>
          <w:rFonts w:asciiTheme="minorHAnsi" w:hAnsiTheme="minorHAnsi" w:cstheme="minorHAnsi"/>
          <w:lang w:val="it-IT"/>
        </w:rPr>
        <w:t xml:space="preserve">. </w:t>
      </w:r>
    </w:p>
    <w:p w14:paraId="5230D87D" w14:textId="77777777" w:rsidR="004705B2" w:rsidRDefault="004705B2" w:rsidP="004705B2">
      <w:pPr>
        <w:rPr>
          <w:rFonts w:asciiTheme="minorHAnsi" w:hAnsiTheme="minorHAnsi" w:cstheme="minorHAnsi"/>
          <w:lang w:val="it-IT"/>
        </w:rPr>
      </w:pPr>
      <w:r w:rsidRPr="004705B2">
        <w:rPr>
          <w:rFonts w:asciiTheme="minorHAnsi" w:hAnsiTheme="minorHAnsi" w:cstheme="minorHAnsi"/>
          <w:lang w:val="it-IT"/>
        </w:rPr>
        <w:lastRenderedPageBreak/>
        <w:t xml:space="preserve">Con il sistema energetico attuale, tra dieci anni (2029) l’Italia avrà esaurito la sua quota. </w:t>
      </w:r>
    </w:p>
    <w:p w14:paraId="6F402AB5" w14:textId="77777777" w:rsidR="00CF0B24" w:rsidRDefault="00CF0B24" w:rsidP="004705B2">
      <w:pPr>
        <w:rPr>
          <w:rFonts w:asciiTheme="minorHAnsi" w:hAnsiTheme="minorHAnsi" w:cstheme="minorHAnsi"/>
          <w:lang w:val="it-IT"/>
        </w:rPr>
      </w:pPr>
    </w:p>
    <w:p w14:paraId="42A9F991" w14:textId="77777777" w:rsidR="00CF0B24" w:rsidRDefault="00CF0B24" w:rsidP="00CF0B24">
      <w:pPr>
        <w:keepNext/>
        <w:jc w:val="center"/>
      </w:pPr>
      <w:r>
        <w:rPr>
          <w:rFonts w:asciiTheme="minorHAnsi" w:hAnsiTheme="minorHAnsi" w:cstheme="minorHAnsi"/>
          <w:lang w:val="it-IT"/>
        </w:rPr>
        <w:pict w14:anchorId="67E4AE7D">
          <v:shape id="_x0000_i1027" type="#_x0000_t75" style="width:398.3pt;height:227.5pt">
            <v:imagedata r:id="rId10" o:title="CarbonBudget_slide3-2-03" croptop="6877f" cropbottom="4881f" cropleft="6627f" cropright="5908f"/>
          </v:shape>
        </w:pict>
      </w:r>
    </w:p>
    <w:p w14:paraId="0BB3469C" w14:textId="470C7E77" w:rsidR="00CF0B24" w:rsidRPr="00CF0B24" w:rsidRDefault="00CF0B24" w:rsidP="00CF0B24">
      <w:pPr>
        <w:pStyle w:val="Caption"/>
        <w:jc w:val="center"/>
        <w:rPr>
          <w:rFonts w:asciiTheme="minorHAnsi" w:hAnsiTheme="minorHAnsi" w:cstheme="minorHAnsi"/>
          <w:lang w:val="it-IT"/>
        </w:rPr>
      </w:pPr>
      <w:r w:rsidRPr="00CF0B24">
        <w:rPr>
          <w:lang w:val="it-IT"/>
        </w:rPr>
        <w:t xml:space="preserve">Figure </w:t>
      </w:r>
      <w:r>
        <w:fldChar w:fldCharType="begin"/>
      </w:r>
      <w:r w:rsidRPr="00CF0B24">
        <w:rPr>
          <w:lang w:val="it-IT"/>
        </w:rPr>
        <w:instrText xml:space="preserve"> SEQ Figure \* ARABIC </w:instrText>
      </w:r>
      <w:r>
        <w:fldChar w:fldCharType="separate"/>
      </w:r>
      <w:r w:rsidRPr="00CF0B24">
        <w:rPr>
          <w:noProof/>
          <w:lang w:val="it-IT"/>
        </w:rPr>
        <w:t>3</w:t>
      </w:r>
      <w:r>
        <w:fldChar w:fldCharType="end"/>
      </w:r>
      <w:r w:rsidRPr="00CF0B24">
        <w:rPr>
          <w:lang w:val="it-IT"/>
        </w:rPr>
        <w:t xml:space="preserve"> Carbon budget restante per limitare l’aumento di temperatura a 1.5° rispetto alla situazione pre-industriale a confronto con i due scenari consi</w:t>
      </w:r>
      <w:r>
        <w:rPr>
          <w:lang w:val="it-IT"/>
        </w:rPr>
        <w:t>derati nello studio: PNIEC 2030 e Advanced 2030.</w:t>
      </w:r>
    </w:p>
    <w:p w14:paraId="77A89507" w14:textId="77777777" w:rsidR="00CF0B24" w:rsidRPr="004705B2" w:rsidRDefault="00CF0B24" w:rsidP="004705B2">
      <w:pPr>
        <w:rPr>
          <w:rFonts w:asciiTheme="minorHAnsi" w:hAnsiTheme="minorHAnsi" w:cstheme="minorHAnsi"/>
          <w:lang w:val="it-IT"/>
        </w:rPr>
      </w:pPr>
    </w:p>
    <w:p w14:paraId="009FCA0E" w14:textId="633984B7" w:rsidR="00C26A70" w:rsidRPr="009448A0" w:rsidRDefault="004705B2" w:rsidP="004705B2">
      <w:pPr>
        <w:rPr>
          <w:rFonts w:asciiTheme="minorHAnsi" w:hAnsiTheme="minorHAnsi" w:cstheme="minorHAnsi"/>
          <w:highlight w:val="yellow"/>
          <w:lang w:val="it-IT"/>
        </w:rPr>
      </w:pPr>
      <w:r w:rsidRPr="004705B2">
        <w:rPr>
          <w:rFonts w:asciiTheme="minorHAnsi" w:hAnsiTheme="minorHAnsi" w:cstheme="minorHAnsi"/>
          <w:lang w:val="it-IT"/>
        </w:rPr>
        <w:t xml:space="preserve">Sia il PNIEC sia </w:t>
      </w:r>
      <w:r w:rsidR="00272726">
        <w:rPr>
          <w:rFonts w:asciiTheme="minorHAnsi" w:hAnsiTheme="minorHAnsi" w:cstheme="minorHAnsi"/>
          <w:lang w:val="it-IT"/>
        </w:rPr>
        <w:t>lo scenario</w:t>
      </w:r>
      <w:r w:rsidRPr="004705B2">
        <w:rPr>
          <w:rFonts w:asciiTheme="minorHAnsi" w:hAnsiTheme="minorHAnsi" w:cstheme="minorHAnsi"/>
          <w:lang w:val="it-IT"/>
        </w:rPr>
        <w:t xml:space="preserve"> Advanced </w:t>
      </w:r>
      <w:r w:rsidR="002B33B8">
        <w:rPr>
          <w:rFonts w:asciiTheme="minorHAnsi" w:hAnsiTheme="minorHAnsi" w:cstheme="minorHAnsi"/>
          <w:lang w:val="it-IT"/>
        </w:rPr>
        <w:t>2030 riducono le emissioni di CO</w:t>
      </w:r>
      <w:r w:rsidR="002B33B8" w:rsidRPr="00CF0B24">
        <w:rPr>
          <w:rFonts w:asciiTheme="minorHAnsi" w:hAnsiTheme="minorHAnsi" w:cstheme="minorHAnsi"/>
          <w:vertAlign w:val="subscript"/>
          <w:lang w:val="it-IT"/>
        </w:rPr>
        <w:t>2</w:t>
      </w:r>
      <w:r w:rsidR="002B33B8" w:rsidRPr="002B33B8">
        <w:rPr>
          <w:rFonts w:asciiTheme="minorHAnsi" w:hAnsiTheme="minorHAnsi" w:cstheme="minorHAnsi"/>
          <w:lang w:val="it-IT"/>
        </w:rPr>
        <w:t xml:space="preserve"> </w:t>
      </w:r>
      <w:r w:rsidR="002B33B8">
        <w:rPr>
          <w:rFonts w:asciiTheme="minorHAnsi" w:hAnsiTheme="minorHAnsi" w:cstheme="minorHAnsi"/>
          <w:lang w:val="it-IT"/>
        </w:rPr>
        <w:t>spostando in avanti l’esaurimento del budget, tuttavia entrambe le soluzioni fanno guadagnare solo</w:t>
      </w:r>
      <w:bookmarkStart w:id="0" w:name="_GoBack"/>
      <w:bookmarkEnd w:id="0"/>
      <w:r w:rsidR="002B33B8">
        <w:rPr>
          <w:rFonts w:asciiTheme="minorHAnsi" w:hAnsiTheme="minorHAnsi" w:cstheme="minorHAnsi"/>
          <w:lang w:val="it-IT"/>
        </w:rPr>
        <w:t xml:space="preserve"> pochi anni</w:t>
      </w:r>
      <w:r w:rsidR="001715C6">
        <w:rPr>
          <w:rFonts w:asciiTheme="minorHAnsi" w:hAnsiTheme="minorHAnsi" w:cstheme="minorHAnsi"/>
          <w:lang w:val="it-IT"/>
        </w:rPr>
        <w:t xml:space="preserve"> (Figura 3)</w:t>
      </w:r>
      <w:r w:rsidR="00C26A70">
        <w:rPr>
          <w:rFonts w:asciiTheme="minorHAnsi" w:hAnsiTheme="minorHAnsi" w:cstheme="minorHAnsi"/>
          <w:lang w:val="it-IT"/>
        </w:rPr>
        <w:t>. “</w:t>
      </w:r>
      <w:r w:rsidR="00E953C6" w:rsidRPr="00A165A6">
        <w:rPr>
          <w:rFonts w:asciiTheme="minorHAnsi" w:hAnsiTheme="minorHAnsi" w:cstheme="minorHAnsi"/>
          <w:lang w:val="it-IT"/>
        </w:rPr>
        <w:t>P</w:t>
      </w:r>
      <w:r w:rsidR="00C26A70" w:rsidRPr="00A165A6">
        <w:rPr>
          <w:rFonts w:asciiTheme="minorHAnsi" w:hAnsiTheme="minorHAnsi" w:cstheme="minorHAnsi"/>
          <w:lang w:val="it-IT"/>
        </w:rPr>
        <w:t xml:space="preserve">er rispettare gli accordi di Parigi la velocità della decarbonizzazione del nostro sistema energetico andrebbe aumentata già prima del 2030. </w:t>
      </w:r>
      <w:r w:rsidR="009448A0" w:rsidRPr="00A165A6">
        <w:rPr>
          <w:rFonts w:asciiTheme="minorHAnsi" w:hAnsiTheme="minorHAnsi" w:cstheme="minorHAnsi"/>
          <w:lang w:val="it-IT"/>
        </w:rPr>
        <w:t>È importante sottolineare che</w:t>
      </w:r>
      <w:r w:rsidR="00E953C6" w:rsidRPr="00A165A6">
        <w:rPr>
          <w:rFonts w:asciiTheme="minorHAnsi" w:hAnsiTheme="minorHAnsi" w:cstheme="minorHAnsi"/>
          <w:lang w:val="it-IT"/>
        </w:rPr>
        <w:t xml:space="preserve"> nei prossimi anni </w:t>
      </w:r>
      <w:r w:rsidR="001952CB" w:rsidRPr="00A165A6">
        <w:rPr>
          <w:rFonts w:asciiTheme="minorHAnsi" w:hAnsiTheme="minorHAnsi" w:cstheme="minorHAnsi"/>
          <w:lang w:val="it-IT"/>
        </w:rPr>
        <w:t xml:space="preserve">potrebbe essere il mercato a imporre </w:t>
      </w:r>
      <w:r w:rsidR="00E953C6" w:rsidRPr="00A165A6">
        <w:rPr>
          <w:rFonts w:asciiTheme="minorHAnsi" w:hAnsiTheme="minorHAnsi" w:cstheme="minorHAnsi"/>
          <w:lang w:val="it-IT"/>
        </w:rPr>
        <w:t xml:space="preserve">un’accelerazione della transizione energetica: stiamo assistendo a una diminuzione </w:t>
      </w:r>
      <w:r w:rsidR="00BC6C87">
        <w:rPr>
          <w:rFonts w:asciiTheme="minorHAnsi" w:hAnsiTheme="minorHAnsi" w:cstheme="minorHAnsi"/>
          <w:lang w:val="it-IT"/>
        </w:rPr>
        <w:t xml:space="preserve">importante </w:t>
      </w:r>
      <w:r w:rsidR="00E953C6" w:rsidRPr="00A165A6">
        <w:rPr>
          <w:rFonts w:asciiTheme="minorHAnsi" w:hAnsiTheme="minorHAnsi" w:cstheme="minorHAnsi"/>
          <w:lang w:val="it-IT"/>
        </w:rPr>
        <w:t xml:space="preserve">dei </w:t>
      </w:r>
      <w:r w:rsidR="009448A0" w:rsidRPr="00A165A6">
        <w:rPr>
          <w:rFonts w:asciiTheme="minorHAnsi" w:hAnsiTheme="minorHAnsi" w:cstheme="minorHAnsi"/>
          <w:lang w:val="it-IT"/>
        </w:rPr>
        <w:t>costi delle principali fonti rinnovabili</w:t>
      </w:r>
      <w:r w:rsidR="00E953C6" w:rsidRPr="00A165A6">
        <w:rPr>
          <w:rFonts w:asciiTheme="minorHAnsi" w:hAnsiTheme="minorHAnsi" w:cstheme="minorHAnsi"/>
          <w:lang w:val="it-IT"/>
        </w:rPr>
        <w:t xml:space="preserve"> che </w:t>
      </w:r>
      <w:r w:rsidR="00BC6C87">
        <w:rPr>
          <w:rFonts w:asciiTheme="minorHAnsi" w:hAnsiTheme="minorHAnsi" w:cstheme="minorHAnsi"/>
          <w:lang w:val="it-IT"/>
        </w:rPr>
        <w:t xml:space="preserve">nei prossimi anni </w:t>
      </w:r>
      <w:r w:rsidR="00E953C6" w:rsidRPr="00A165A6">
        <w:rPr>
          <w:rFonts w:asciiTheme="minorHAnsi" w:hAnsiTheme="minorHAnsi" w:cstheme="minorHAnsi"/>
          <w:lang w:val="it-IT"/>
        </w:rPr>
        <w:t xml:space="preserve">potrebbe farle diventare </w:t>
      </w:r>
      <w:r w:rsidR="009448A0" w:rsidRPr="00A165A6">
        <w:rPr>
          <w:rFonts w:asciiTheme="minorHAnsi" w:hAnsiTheme="minorHAnsi" w:cstheme="minorHAnsi"/>
          <w:lang w:val="it-IT"/>
        </w:rPr>
        <w:t>il modo più economico di produrre energi</w:t>
      </w:r>
      <w:r w:rsidR="00E953C6" w:rsidRPr="00A165A6">
        <w:rPr>
          <w:rFonts w:asciiTheme="minorHAnsi" w:hAnsiTheme="minorHAnsi" w:cstheme="minorHAnsi"/>
          <w:lang w:val="it-IT"/>
        </w:rPr>
        <w:t>a</w:t>
      </w:r>
      <w:r w:rsidR="009448A0" w:rsidRPr="00A165A6">
        <w:rPr>
          <w:rFonts w:asciiTheme="minorHAnsi" w:hAnsiTheme="minorHAnsi" w:cstheme="minorHAnsi"/>
          <w:lang w:val="it-IT"/>
        </w:rPr>
        <w:t xml:space="preserve">” </w:t>
      </w:r>
      <w:r w:rsidR="009A64AE" w:rsidRPr="00A165A6">
        <w:rPr>
          <w:rFonts w:asciiTheme="minorHAnsi" w:hAnsiTheme="minorHAnsi" w:cstheme="minorHAnsi"/>
          <w:lang w:val="it-IT"/>
        </w:rPr>
        <w:t>afferma David Moser, responsabile dello studio di Eurac Research.</w:t>
      </w:r>
    </w:p>
    <w:p w14:paraId="63CB4BF3" w14:textId="092D97E0" w:rsidR="003966B1" w:rsidRDefault="003966B1" w:rsidP="004705B2">
      <w:pPr>
        <w:rPr>
          <w:rFonts w:asciiTheme="minorHAnsi" w:hAnsiTheme="minorHAnsi" w:cstheme="minorHAnsi"/>
          <w:lang w:val="it-IT"/>
        </w:rPr>
      </w:pPr>
    </w:p>
    <w:p w14:paraId="48215241" w14:textId="51DF8866" w:rsidR="00DA44A0" w:rsidRPr="009A64AE" w:rsidRDefault="00DA44A0" w:rsidP="00CE1D0D">
      <w:pPr>
        <w:rPr>
          <w:rFonts w:asciiTheme="minorHAnsi" w:hAnsiTheme="minorHAnsi" w:cstheme="minorHAnsi"/>
          <w:lang w:val="it-IT"/>
        </w:rPr>
      </w:pPr>
    </w:p>
    <w:sectPr w:rsidR="00DA44A0" w:rsidRPr="009A64AE" w:rsidSect="009F2667">
      <w:headerReference w:type="default" r:id="rId11"/>
      <w:footerReference w:type="default" r:id="rId12"/>
      <w:pgSz w:w="11900" w:h="16840"/>
      <w:pgMar w:top="3358" w:right="1021" w:bottom="1702" w:left="1021" w:header="1134"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D68FC9" w16cid:durableId="2190E979"/>
  <w16cid:commentId w16cid:paraId="3AF906FD" w16cid:durableId="2190EB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1707F" w14:textId="77777777" w:rsidR="0073547B" w:rsidRDefault="0073547B" w:rsidP="00302114">
      <w:r>
        <w:separator/>
      </w:r>
    </w:p>
  </w:endnote>
  <w:endnote w:type="continuationSeparator" w:id="0">
    <w:p w14:paraId="5304FA9C" w14:textId="77777777" w:rsidR="0073547B" w:rsidRDefault="0073547B"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F87F9" w14:textId="77777777" w:rsidR="00FA1CB5" w:rsidRPr="003E7B8D" w:rsidRDefault="00FA1CB5"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 xml:space="preserve">ComMunication - </w:t>
    </w:r>
    <w:r w:rsidRPr="003E7B8D">
      <w:rPr>
        <w:rFonts w:ascii="Calibri" w:hAnsi="Calibri"/>
        <w:b/>
        <w:caps/>
        <w:color w:val="808080"/>
        <w:sz w:val="14"/>
        <w:lang w:val="it-IT" w:eastAsia="de-DE"/>
      </w:rPr>
      <w:t>kommunikation – Comunicazione</w:t>
    </w:r>
  </w:p>
  <w:p w14:paraId="5F6028EE" w14:textId="77777777" w:rsidR="00FA1CB5" w:rsidRPr="003E7B8D" w:rsidRDefault="00FA1CB5" w:rsidP="00302114">
    <w:pPr>
      <w:tabs>
        <w:tab w:val="center" w:pos="4536"/>
        <w:tab w:val="right" w:pos="9072"/>
      </w:tabs>
      <w:rPr>
        <w:rFonts w:ascii="Calibri" w:hAnsi="Calibri"/>
        <w:caps/>
        <w:sz w:val="14"/>
        <w:lang w:val="it-IT" w:eastAsia="de-DE"/>
      </w:rPr>
    </w:pPr>
    <w:bookmarkStart w:id="1" w:name="Adresse2"/>
    <w:bookmarkStart w:id="2" w:name="Adresse3"/>
    <w:bookmarkEnd w:id="1"/>
    <w:bookmarkEnd w:id="2"/>
  </w:p>
  <w:p w14:paraId="070F2BA0" w14:textId="77777777" w:rsidR="00FA1CB5" w:rsidRPr="003E7B8D" w:rsidRDefault="00FA1CB5"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6C094195" w14:textId="77777777" w:rsidR="00FA1CB5" w:rsidRPr="003E7B8D" w:rsidRDefault="00FA1CB5"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Tel. +39 0471 055 03</w:t>
    </w:r>
    <w:r>
      <w:rPr>
        <w:rFonts w:ascii="Calibri" w:hAnsi="Calibri"/>
        <w:caps/>
        <w:sz w:val="14"/>
        <w:lang w:val="it-IT" w:eastAsia="de-DE"/>
      </w:rPr>
      <w:t>3  Fax +39 0471 055 039    COMMUNICATION</w:t>
    </w:r>
    <w:r w:rsidRPr="003E7B8D">
      <w:rPr>
        <w:rFonts w:ascii="Calibri" w:hAnsi="Calibri"/>
        <w:caps/>
        <w:sz w:val="14"/>
        <w:lang w:val="it-IT" w:eastAsia="de-DE"/>
      </w:rPr>
      <w:t>@eurac.edu    www.eurac.edu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55ADF" w14:textId="77777777" w:rsidR="0073547B" w:rsidRDefault="0073547B" w:rsidP="00302114">
      <w:r>
        <w:separator/>
      </w:r>
    </w:p>
  </w:footnote>
  <w:footnote w:type="continuationSeparator" w:id="0">
    <w:p w14:paraId="051F3931" w14:textId="77777777" w:rsidR="0073547B" w:rsidRDefault="0073547B" w:rsidP="0030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EA6E" w14:textId="77777777" w:rsidR="00FA1CB5" w:rsidRPr="003E7B8D" w:rsidRDefault="00FA1CB5"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758455FD" wp14:editId="70E3B53B">
          <wp:simplePos x="0" y="0"/>
          <wp:positionH relativeFrom="column">
            <wp:posOffset>-637540</wp:posOffset>
          </wp:positionH>
          <wp:positionV relativeFrom="paragraph">
            <wp:posOffset>-720090</wp:posOffset>
          </wp:positionV>
          <wp:extent cx="7560000" cy="10692000"/>
          <wp:effectExtent l="0" t="0" r="9525" b="1905"/>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B274CA2" w14:textId="77777777" w:rsidR="00FA1CB5" w:rsidRPr="003E7B8D" w:rsidRDefault="00FA1CB5"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64C1B"/>
    <w:multiLevelType w:val="hybridMultilevel"/>
    <w:tmpl w:val="C762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900B2"/>
    <w:multiLevelType w:val="hybridMultilevel"/>
    <w:tmpl w:val="A74E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C0C3D"/>
    <w:multiLevelType w:val="hybridMultilevel"/>
    <w:tmpl w:val="CB8A1380"/>
    <w:lvl w:ilvl="0" w:tplc="74A69A9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1B616B"/>
    <w:multiLevelType w:val="hybridMultilevel"/>
    <w:tmpl w:val="130A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3A29AC"/>
    <w:multiLevelType w:val="hybridMultilevel"/>
    <w:tmpl w:val="E878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D0B103A"/>
    <w:multiLevelType w:val="hybridMultilevel"/>
    <w:tmpl w:val="D0560C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D57654A"/>
    <w:multiLevelType w:val="hybridMultilevel"/>
    <w:tmpl w:val="2C3C5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2"/>
  </w:num>
  <w:num w:numId="6">
    <w:abstractNumId w:val="11"/>
  </w:num>
  <w:num w:numId="7">
    <w:abstractNumId w:val="8"/>
  </w:num>
  <w:num w:numId="8">
    <w:abstractNumId w:val="4"/>
  </w:num>
  <w:num w:numId="9">
    <w:abstractNumId w:val="9"/>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activeWritingStyle w:appName="MSWord" w:lang="it-IT" w:vendorID="64" w:dllVersion="131078" w:nlCheck="1" w:checkStyle="0"/>
  <w:activeWritingStyle w:appName="MSWord" w:lang="de-DE" w:vendorID="64" w:dllVersion="131078" w:nlCheck="1" w:checkStyle="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BA5"/>
    <w:rsid w:val="00003181"/>
    <w:rsid w:val="000034D0"/>
    <w:rsid w:val="0000459D"/>
    <w:rsid w:val="00010266"/>
    <w:rsid w:val="00012443"/>
    <w:rsid w:val="00024B37"/>
    <w:rsid w:val="00027292"/>
    <w:rsid w:val="00027FE8"/>
    <w:rsid w:val="00033058"/>
    <w:rsid w:val="00035BBE"/>
    <w:rsid w:val="00040401"/>
    <w:rsid w:val="00041CA7"/>
    <w:rsid w:val="00042C14"/>
    <w:rsid w:val="0004404F"/>
    <w:rsid w:val="000465B6"/>
    <w:rsid w:val="000467D8"/>
    <w:rsid w:val="0005128F"/>
    <w:rsid w:val="00052151"/>
    <w:rsid w:val="00052F5B"/>
    <w:rsid w:val="0005690C"/>
    <w:rsid w:val="000570E0"/>
    <w:rsid w:val="000703C6"/>
    <w:rsid w:val="0007088D"/>
    <w:rsid w:val="00075B43"/>
    <w:rsid w:val="00076F9A"/>
    <w:rsid w:val="00077291"/>
    <w:rsid w:val="000849C7"/>
    <w:rsid w:val="00085D5F"/>
    <w:rsid w:val="00087FE2"/>
    <w:rsid w:val="0009622B"/>
    <w:rsid w:val="000A0B08"/>
    <w:rsid w:val="000A1349"/>
    <w:rsid w:val="000A24E9"/>
    <w:rsid w:val="000A4627"/>
    <w:rsid w:val="000B24A9"/>
    <w:rsid w:val="000B7283"/>
    <w:rsid w:val="000C4F18"/>
    <w:rsid w:val="000C4F28"/>
    <w:rsid w:val="000C79A2"/>
    <w:rsid w:val="000D41E3"/>
    <w:rsid w:val="000D48AD"/>
    <w:rsid w:val="000D798F"/>
    <w:rsid w:val="000D79D5"/>
    <w:rsid w:val="000D7C25"/>
    <w:rsid w:val="000E086A"/>
    <w:rsid w:val="000E34E1"/>
    <w:rsid w:val="000F1BC5"/>
    <w:rsid w:val="000F525C"/>
    <w:rsid w:val="00104A00"/>
    <w:rsid w:val="00110618"/>
    <w:rsid w:val="001139FE"/>
    <w:rsid w:val="00117F01"/>
    <w:rsid w:val="00123B02"/>
    <w:rsid w:val="00124152"/>
    <w:rsid w:val="00125C80"/>
    <w:rsid w:val="001269B2"/>
    <w:rsid w:val="00130983"/>
    <w:rsid w:val="00130F59"/>
    <w:rsid w:val="001315FC"/>
    <w:rsid w:val="001336A6"/>
    <w:rsid w:val="00135661"/>
    <w:rsid w:val="00145CD6"/>
    <w:rsid w:val="00145EF2"/>
    <w:rsid w:val="00146CF0"/>
    <w:rsid w:val="00150F4B"/>
    <w:rsid w:val="00151327"/>
    <w:rsid w:val="00160017"/>
    <w:rsid w:val="00167433"/>
    <w:rsid w:val="001715C6"/>
    <w:rsid w:val="00171795"/>
    <w:rsid w:val="001718F5"/>
    <w:rsid w:val="00172018"/>
    <w:rsid w:val="00176FAC"/>
    <w:rsid w:val="001774B8"/>
    <w:rsid w:val="0018378C"/>
    <w:rsid w:val="001916B0"/>
    <w:rsid w:val="00194DF0"/>
    <w:rsid w:val="001952CB"/>
    <w:rsid w:val="00195898"/>
    <w:rsid w:val="001A78C4"/>
    <w:rsid w:val="001B535E"/>
    <w:rsid w:val="001B544A"/>
    <w:rsid w:val="001C106B"/>
    <w:rsid w:val="001C6FF7"/>
    <w:rsid w:val="001C72FA"/>
    <w:rsid w:val="001D241E"/>
    <w:rsid w:val="001D7BA5"/>
    <w:rsid w:val="001F4DD1"/>
    <w:rsid w:val="001F539F"/>
    <w:rsid w:val="001F7D9B"/>
    <w:rsid w:val="00201E8A"/>
    <w:rsid w:val="00205D28"/>
    <w:rsid w:val="00210488"/>
    <w:rsid w:val="00214259"/>
    <w:rsid w:val="002175ED"/>
    <w:rsid w:val="00220DB0"/>
    <w:rsid w:val="002211A5"/>
    <w:rsid w:val="00223798"/>
    <w:rsid w:val="0023445D"/>
    <w:rsid w:val="002358FB"/>
    <w:rsid w:val="00242371"/>
    <w:rsid w:val="00242719"/>
    <w:rsid w:val="00251471"/>
    <w:rsid w:val="0025156F"/>
    <w:rsid w:val="00256735"/>
    <w:rsid w:val="00261A6D"/>
    <w:rsid w:val="00270998"/>
    <w:rsid w:val="00272726"/>
    <w:rsid w:val="0027724F"/>
    <w:rsid w:val="002833DE"/>
    <w:rsid w:val="002A207E"/>
    <w:rsid w:val="002A63D4"/>
    <w:rsid w:val="002B1122"/>
    <w:rsid w:val="002B33B8"/>
    <w:rsid w:val="002B4B27"/>
    <w:rsid w:val="002B4F5D"/>
    <w:rsid w:val="002D0E42"/>
    <w:rsid w:val="002E0D17"/>
    <w:rsid w:val="00302114"/>
    <w:rsid w:val="0030655C"/>
    <w:rsid w:val="00307879"/>
    <w:rsid w:val="0031065C"/>
    <w:rsid w:val="00313630"/>
    <w:rsid w:val="00314BC1"/>
    <w:rsid w:val="00315DAE"/>
    <w:rsid w:val="00325452"/>
    <w:rsid w:val="0033117B"/>
    <w:rsid w:val="00335A55"/>
    <w:rsid w:val="00335EF5"/>
    <w:rsid w:val="00335FF8"/>
    <w:rsid w:val="00342DD3"/>
    <w:rsid w:val="0034336F"/>
    <w:rsid w:val="003518FF"/>
    <w:rsid w:val="00361A91"/>
    <w:rsid w:val="00361B1E"/>
    <w:rsid w:val="00363672"/>
    <w:rsid w:val="00364D02"/>
    <w:rsid w:val="0038441E"/>
    <w:rsid w:val="003867F6"/>
    <w:rsid w:val="003913C1"/>
    <w:rsid w:val="003913E0"/>
    <w:rsid w:val="00391568"/>
    <w:rsid w:val="003966B1"/>
    <w:rsid w:val="003A39C3"/>
    <w:rsid w:val="003A5F1B"/>
    <w:rsid w:val="003C1B7A"/>
    <w:rsid w:val="003D3A48"/>
    <w:rsid w:val="003E1603"/>
    <w:rsid w:val="003E1E8B"/>
    <w:rsid w:val="003E4772"/>
    <w:rsid w:val="003E7B8D"/>
    <w:rsid w:val="004077DB"/>
    <w:rsid w:val="004105CF"/>
    <w:rsid w:val="00424634"/>
    <w:rsid w:val="004252E0"/>
    <w:rsid w:val="004325F7"/>
    <w:rsid w:val="004339C4"/>
    <w:rsid w:val="00434BA6"/>
    <w:rsid w:val="00434C28"/>
    <w:rsid w:val="00436A21"/>
    <w:rsid w:val="004373E2"/>
    <w:rsid w:val="004452FC"/>
    <w:rsid w:val="004521C5"/>
    <w:rsid w:val="004539CA"/>
    <w:rsid w:val="00453A8C"/>
    <w:rsid w:val="00454C28"/>
    <w:rsid w:val="00456276"/>
    <w:rsid w:val="004562F9"/>
    <w:rsid w:val="004605A7"/>
    <w:rsid w:val="0046670C"/>
    <w:rsid w:val="004705B2"/>
    <w:rsid w:val="00470DAF"/>
    <w:rsid w:val="0047461D"/>
    <w:rsid w:val="004763FD"/>
    <w:rsid w:val="0048496E"/>
    <w:rsid w:val="00497AAB"/>
    <w:rsid w:val="004A2E51"/>
    <w:rsid w:val="004B090D"/>
    <w:rsid w:val="004B1062"/>
    <w:rsid w:val="004B1D5C"/>
    <w:rsid w:val="004B280A"/>
    <w:rsid w:val="004B4AB0"/>
    <w:rsid w:val="004C5E4B"/>
    <w:rsid w:val="004D220B"/>
    <w:rsid w:val="004D313D"/>
    <w:rsid w:val="004D3C76"/>
    <w:rsid w:val="004E0713"/>
    <w:rsid w:val="004E159E"/>
    <w:rsid w:val="004E284F"/>
    <w:rsid w:val="004E2B9E"/>
    <w:rsid w:val="004E38CF"/>
    <w:rsid w:val="004E6D7B"/>
    <w:rsid w:val="004F03EC"/>
    <w:rsid w:val="004F27B3"/>
    <w:rsid w:val="004F525D"/>
    <w:rsid w:val="004F73AB"/>
    <w:rsid w:val="005030C1"/>
    <w:rsid w:val="005068E3"/>
    <w:rsid w:val="0051012E"/>
    <w:rsid w:val="00511BB0"/>
    <w:rsid w:val="005204BC"/>
    <w:rsid w:val="00532729"/>
    <w:rsid w:val="005335B4"/>
    <w:rsid w:val="00544914"/>
    <w:rsid w:val="00544B5A"/>
    <w:rsid w:val="00550905"/>
    <w:rsid w:val="00555B6A"/>
    <w:rsid w:val="00557AAF"/>
    <w:rsid w:val="00557AD2"/>
    <w:rsid w:val="00561F06"/>
    <w:rsid w:val="00562166"/>
    <w:rsid w:val="005671F1"/>
    <w:rsid w:val="005719BB"/>
    <w:rsid w:val="00580523"/>
    <w:rsid w:val="005827B0"/>
    <w:rsid w:val="00582BF0"/>
    <w:rsid w:val="00585129"/>
    <w:rsid w:val="00593255"/>
    <w:rsid w:val="005973E5"/>
    <w:rsid w:val="005A4A8C"/>
    <w:rsid w:val="005A6020"/>
    <w:rsid w:val="005A67A5"/>
    <w:rsid w:val="005A74C4"/>
    <w:rsid w:val="005B18A3"/>
    <w:rsid w:val="005B57D8"/>
    <w:rsid w:val="005C4483"/>
    <w:rsid w:val="005C6033"/>
    <w:rsid w:val="005C6AF5"/>
    <w:rsid w:val="005D15E2"/>
    <w:rsid w:val="005D29AC"/>
    <w:rsid w:val="005E052D"/>
    <w:rsid w:val="006008D1"/>
    <w:rsid w:val="006026B2"/>
    <w:rsid w:val="0060565B"/>
    <w:rsid w:val="00605A4D"/>
    <w:rsid w:val="00607ADA"/>
    <w:rsid w:val="00613208"/>
    <w:rsid w:val="0061644C"/>
    <w:rsid w:val="00616A07"/>
    <w:rsid w:val="0062094D"/>
    <w:rsid w:val="00640D1B"/>
    <w:rsid w:val="00641672"/>
    <w:rsid w:val="00645C76"/>
    <w:rsid w:val="00650E59"/>
    <w:rsid w:val="0065298D"/>
    <w:rsid w:val="00665A1E"/>
    <w:rsid w:val="0066645F"/>
    <w:rsid w:val="0067065E"/>
    <w:rsid w:val="00671295"/>
    <w:rsid w:val="00677783"/>
    <w:rsid w:val="0068719D"/>
    <w:rsid w:val="0068737B"/>
    <w:rsid w:val="00690688"/>
    <w:rsid w:val="00691A49"/>
    <w:rsid w:val="00694CBB"/>
    <w:rsid w:val="00695866"/>
    <w:rsid w:val="00695D05"/>
    <w:rsid w:val="00695D5E"/>
    <w:rsid w:val="006A535F"/>
    <w:rsid w:val="006A7977"/>
    <w:rsid w:val="006B22AF"/>
    <w:rsid w:val="006B79AE"/>
    <w:rsid w:val="006C3115"/>
    <w:rsid w:val="006C32B8"/>
    <w:rsid w:val="006C3A19"/>
    <w:rsid w:val="006D00DA"/>
    <w:rsid w:val="006D49B8"/>
    <w:rsid w:val="006D5A5D"/>
    <w:rsid w:val="006E6E3F"/>
    <w:rsid w:val="006E797A"/>
    <w:rsid w:val="006F08C6"/>
    <w:rsid w:val="006F09D3"/>
    <w:rsid w:val="006F5C17"/>
    <w:rsid w:val="00701890"/>
    <w:rsid w:val="00701EC3"/>
    <w:rsid w:val="007040B4"/>
    <w:rsid w:val="00704C43"/>
    <w:rsid w:val="007065EA"/>
    <w:rsid w:val="00712849"/>
    <w:rsid w:val="00716899"/>
    <w:rsid w:val="00724C69"/>
    <w:rsid w:val="00732DA3"/>
    <w:rsid w:val="0073547B"/>
    <w:rsid w:val="007377FD"/>
    <w:rsid w:val="00742ED9"/>
    <w:rsid w:val="00745C32"/>
    <w:rsid w:val="00746197"/>
    <w:rsid w:val="00747DEB"/>
    <w:rsid w:val="0075688B"/>
    <w:rsid w:val="00757B34"/>
    <w:rsid w:val="00761181"/>
    <w:rsid w:val="00762379"/>
    <w:rsid w:val="00763E7D"/>
    <w:rsid w:val="00766644"/>
    <w:rsid w:val="0077428C"/>
    <w:rsid w:val="007814AC"/>
    <w:rsid w:val="00785477"/>
    <w:rsid w:val="007A6CFF"/>
    <w:rsid w:val="007B5E37"/>
    <w:rsid w:val="007B7879"/>
    <w:rsid w:val="007C33E8"/>
    <w:rsid w:val="007C6FD7"/>
    <w:rsid w:val="007C70C9"/>
    <w:rsid w:val="007C7BFF"/>
    <w:rsid w:val="007D39F2"/>
    <w:rsid w:val="007D6CE3"/>
    <w:rsid w:val="007D7310"/>
    <w:rsid w:val="007E2EC6"/>
    <w:rsid w:val="007E7B28"/>
    <w:rsid w:val="007F54C4"/>
    <w:rsid w:val="00801BE5"/>
    <w:rsid w:val="00802B3B"/>
    <w:rsid w:val="0080720E"/>
    <w:rsid w:val="00810DE4"/>
    <w:rsid w:val="00813726"/>
    <w:rsid w:val="00814CE2"/>
    <w:rsid w:val="008202F1"/>
    <w:rsid w:val="0082404E"/>
    <w:rsid w:val="008277CD"/>
    <w:rsid w:val="008324F1"/>
    <w:rsid w:val="00835375"/>
    <w:rsid w:val="00835D43"/>
    <w:rsid w:val="00840221"/>
    <w:rsid w:val="00841ECF"/>
    <w:rsid w:val="00856331"/>
    <w:rsid w:val="008563E1"/>
    <w:rsid w:val="00860E71"/>
    <w:rsid w:val="008630C1"/>
    <w:rsid w:val="00867641"/>
    <w:rsid w:val="00870650"/>
    <w:rsid w:val="00872BED"/>
    <w:rsid w:val="00886D87"/>
    <w:rsid w:val="008A33AB"/>
    <w:rsid w:val="008B1CA3"/>
    <w:rsid w:val="008B2BB0"/>
    <w:rsid w:val="008C084A"/>
    <w:rsid w:val="008C498E"/>
    <w:rsid w:val="008D45F2"/>
    <w:rsid w:val="008E7E20"/>
    <w:rsid w:val="008F2E12"/>
    <w:rsid w:val="008F431F"/>
    <w:rsid w:val="00900125"/>
    <w:rsid w:val="00900ED4"/>
    <w:rsid w:val="009041FD"/>
    <w:rsid w:val="009062C7"/>
    <w:rsid w:val="00911D58"/>
    <w:rsid w:val="00913AB7"/>
    <w:rsid w:val="00914FE3"/>
    <w:rsid w:val="0091698E"/>
    <w:rsid w:val="00937F9F"/>
    <w:rsid w:val="00940216"/>
    <w:rsid w:val="00941651"/>
    <w:rsid w:val="009448A0"/>
    <w:rsid w:val="0094770B"/>
    <w:rsid w:val="009634E5"/>
    <w:rsid w:val="00963985"/>
    <w:rsid w:val="009647E0"/>
    <w:rsid w:val="00966B08"/>
    <w:rsid w:val="00973357"/>
    <w:rsid w:val="00974698"/>
    <w:rsid w:val="00976098"/>
    <w:rsid w:val="00984067"/>
    <w:rsid w:val="00991BEE"/>
    <w:rsid w:val="0099369E"/>
    <w:rsid w:val="009A14BC"/>
    <w:rsid w:val="009A19E0"/>
    <w:rsid w:val="009A4615"/>
    <w:rsid w:val="009A4DD3"/>
    <w:rsid w:val="009A64AE"/>
    <w:rsid w:val="009B0148"/>
    <w:rsid w:val="009B03D0"/>
    <w:rsid w:val="009B0BB7"/>
    <w:rsid w:val="009B2A1B"/>
    <w:rsid w:val="009B3870"/>
    <w:rsid w:val="009C0D3A"/>
    <w:rsid w:val="009C395B"/>
    <w:rsid w:val="009D5812"/>
    <w:rsid w:val="009E277A"/>
    <w:rsid w:val="009E6CBB"/>
    <w:rsid w:val="009F2667"/>
    <w:rsid w:val="009F60AE"/>
    <w:rsid w:val="009F6926"/>
    <w:rsid w:val="00A01331"/>
    <w:rsid w:val="00A02A7E"/>
    <w:rsid w:val="00A07552"/>
    <w:rsid w:val="00A10F9F"/>
    <w:rsid w:val="00A117D7"/>
    <w:rsid w:val="00A14492"/>
    <w:rsid w:val="00A165A6"/>
    <w:rsid w:val="00A16BB7"/>
    <w:rsid w:val="00A20CC1"/>
    <w:rsid w:val="00A221B6"/>
    <w:rsid w:val="00A277BC"/>
    <w:rsid w:val="00A34B09"/>
    <w:rsid w:val="00A37952"/>
    <w:rsid w:val="00A40C35"/>
    <w:rsid w:val="00A4234A"/>
    <w:rsid w:val="00A42D0B"/>
    <w:rsid w:val="00A51D85"/>
    <w:rsid w:val="00A57367"/>
    <w:rsid w:val="00A656ED"/>
    <w:rsid w:val="00A677C0"/>
    <w:rsid w:val="00A6792C"/>
    <w:rsid w:val="00A67FD5"/>
    <w:rsid w:val="00A71C87"/>
    <w:rsid w:val="00A728C6"/>
    <w:rsid w:val="00A759FC"/>
    <w:rsid w:val="00A775D4"/>
    <w:rsid w:val="00A8705C"/>
    <w:rsid w:val="00A91D09"/>
    <w:rsid w:val="00A9241B"/>
    <w:rsid w:val="00A9533E"/>
    <w:rsid w:val="00A954E0"/>
    <w:rsid w:val="00AA2297"/>
    <w:rsid w:val="00AA2848"/>
    <w:rsid w:val="00AA356C"/>
    <w:rsid w:val="00AA6BDA"/>
    <w:rsid w:val="00AA6F9D"/>
    <w:rsid w:val="00AB13DB"/>
    <w:rsid w:val="00AB1CE3"/>
    <w:rsid w:val="00AB56C0"/>
    <w:rsid w:val="00AB67B5"/>
    <w:rsid w:val="00AB7626"/>
    <w:rsid w:val="00AC12C1"/>
    <w:rsid w:val="00AD36D6"/>
    <w:rsid w:val="00AF16FC"/>
    <w:rsid w:val="00AF74C2"/>
    <w:rsid w:val="00B0134F"/>
    <w:rsid w:val="00B135D7"/>
    <w:rsid w:val="00B2210B"/>
    <w:rsid w:val="00B22760"/>
    <w:rsid w:val="00B265E6"/>
    <w:rsid w:val="00B26E82"/>
    <w:rsid w:val="00B33D5F"/>
    <w:rsid w:val="00B34F01"/>
    <w:rsid w:val="00B40C4A"/>
    <w:rsid w:val="00B40F9F"/>
    <w:rsid w:val="00B463CF"/>
    <w:rsid w:val="00B46DC4"/>
    <w:rsid w:val="00B47B70"/>
    <w:rsid w:val="00B62F1B"/>
    <w:rsid w:val="00B72373"/>
    <w:rsid w:val="00B7464A"/>
    <w:rsid w:val="00B7585C"/>
    <w:rsid w:val="00B7646D"/>
    <w:rsid w:val="00B85116"/>
    <w:rsid w:val="00B90C19"/>
    <w:rsid w:val="00B92A2E"/>
    <w:rsid w:val="00BA0652"/>
    <w:rsid w:val="00BA6D2F"/>
    <w:rsid w:val="00BB2C99"/>
    <w:rsid w:val="00BC6C87"/>
    <w:rsid w:val="00BD0169"/>
    <w:rsid w:val="00BE140B"/>
    <w:rsid w:val="00BE293D"/>
    <w:rsid w:val="00BF6EAD"/>
    <w:rsid w:val="00BF7379"/>
    <w:rsid w:val="00C04B33"/>
    <w:rsid w:val="00C111E7"/>
    <w:rsid w:val="00C13B10"/>
    <w:rsid w:val="00C26332"/>
    <w:rsid w:val="00C26A70"/>
    <w:rsid w:val="00C304D1"/>
    <w:rsid w:val="00C44983"/>
    <w:rsid w:val="00C52F89"/>
    <w:rsid w:val="00C54BA5"/>
    <w:rsid w:val="00C56333"/>
    <w:rsid w:val="00C66195"/>
    <w:rsid w:val="00C715DF"/>
    <w:rsid w:val="00C73E9B"/>
    <w:rsid w:val="00C74702"/>
    <w:rsid w:val="00C769F9"/>
    <w:rsid w:val="00C8103D"/>
    <w:rsid w:val="00C9487D"/>
    <w:rsid w:val="00C961B4"/>
    <w:rsid w:val="00CB324B"/>
    <w:rsid w:val="00CC11C8"/>
    <w:rsid w:val="00CC337F"/>
    <w:rsid w:val="00CD6997"/>
    <w:rsid w:val="00CE1D0D"/>
    <w:rsid w:val="00CF0B24"/>
    <w:rsid w:val="00CF650B"/>
    <w:rsid w:val="00CF7A04"/>
    <w:rsid w:val="00D00FEB"/>
    <w:rsid w:val="00D07FB7"/>
    <w:rsid w:val="00D116C7"/>
    <w:rsid w:val="00D11E82"/>
    <w:rsid w:val="00D14617"/>
    <w:rsid w:val="00D242D2"/>
    <w:rsid w:val="00D330D8"/>
    <w:rsid w:val="00D37099"/>
    <w:rsid w:val="00D51FEE"/>
    <w:rsid w:val="00D57178"/>
    <w:rsid w:val="00D57984"/>
    <w:rsid w:val="00D6183D"/>
    <w:rsid w:val="00D62369"/>
    <w:rsid w:val="00D705A4"/>
    <w:rsid w:val="00D75C7D"/>
    <w:rsid w:val="00D76493"/>
    <w:rsid w:val="00D87588"/>
    <w:rsid w:val="00D91C7E"/>
    <w:rsid w:val="00D94B75"/>
    <w:rsid w:val="00DA1925"/>
    <w:rsid w:val="00DA1D29"/>
    <w:rsid w:val="00DA44A0"/>
    <w:rsid w:val="00DA4AAD"/>
    <w:rsid w:val="00DA5E02"/>
    <w:rsid w:val="00DA5FD4"/>
    <w:rsid w:val="00DB026E"/>
    <w:rsid w:val="00DB02F4"/>
    <w:rsid w:val="00DB21E5"/>
    <w:rsid w:val="00DC3623"/>
    <w:rsid w:val="00DC3A1F"/>
    <w:rsid w:val="00DC627E"/>
    <w:rsid w:val="00DC79D7"/>
    <w:rsid w:val="00DD3D87"/>
    <w:rsid w:val="00DD79B7"/>
    <w:rsid w:val="00DD7A2F"/>
    <w:rsid w:val="00DE68A2"/>
    <w:rsid w:val="00DF465D"/>
    <w:rsid w:val="00DF4D19"/>
    <w:rsid w:val="00E02C99"/>
    <w:rsid w:val="00E058FC"/>
    <w:rsid w:val="00E10F15"/>
    <w:rsid w:val="00E122B4"/>
    <w:rsid w:val="00E21743"/>
    <w:rsid w:val="00E23F98"/>
    <w:rsid w:val="00E24103"/>
    <w:rsid w:val="00E24EF1"/>
    <w:rsid w:val="00E25E52"/>
    <w:rsid w:val="00E33885"/>
    <w:rsid w:val="00E3491E"/>
    <w:rsid w:val="00E35DDA"/>
    <w:rsid w:val="00E44A89"/>
    <w:rsid w:val="00E46D58"/>
    <w:rsid w:val="00E5046A"/>
    <w:rsid w:val="00E527CE"/>
    <w:rsid w:val="00E530B8"/>
    <w:rsid w:val="00E5476C"/>
    <w:rsid w:val="00E557BF"/>
    <w:rsid w:val="00E60997"/>
    <w:rsid w:val="00E639C8"/>
    <w:rsid w:val="00E65438"/>
    <w:rsid w:val="00E67199"/>
    <w:rsid w:val="00E71981"/>
    <w:rsid w:val="00E75E2A"/>
    <w:rsid w:val="00E81789"/>
    <w:rsid w:val="00E81B1B"/>
    <w:rsid w:val="00E92EF2"/>
    <w:rsid w:val="00E953C6"/>
    <w:rsid w:val="00EA2278"/>
    <w:rsid w:val="00EB2F3D"/>
    <w:rsid w:val="00EC0066"/>
    <w:rsid w:val="00ED2217"/>
    <w:rsid w:val="00ED256F"/>
    <w:rsid w:val="00ED3FD1"/>
    <w:rsid w:val="00ED4785"/>
    <w:rsid w:val="00ED5FB7"/>
    <w:rsid w:val="00EE197E"/>
    <w:rsid w:val="00EE1B7E"/>
    <w:rsid w:val="00EF585D"/>
    <w:rsid w:val="00EF5B6C"/>
    <w:rsid w:val="00F01842"/>
    <w:rsid w:val="00F054CC"/>
    <w:rsid w:val="00F05EEF"/>
    <w:rsid w:val="00F10FB4"/>
    <w:rsid w:val="00F146CE"/>
    <w:rsid w:val="00F2088C"/>
    <w:rsid w:val="00F32CEC"/>
    <w:rsid w:val="00F32F1C"/>
    <w:rsid w:val="00F358EA"/>
    <w:rsid w:val="00F3782A"/>
    <w:rsid w:val="00F41B8A"/>
    <w:rsid w:val="00F422D4"/>
    <w:rsid w:val="00F42617"/>
    <w:rsid w:val="00F503FD"/>
    <w:rsid w:val="00F523FB"/>
    <w:rsid w:val="00F56C9A"/>
    <w:rsid w:val="00F672F3"/>
    <w:rsid w:val="00F73451"/>
    <w:rsid w:val="00F77381"/>
    <w:rsid w:val="00F77409"/>
    <w:rsid w:val="00F8315D"/>
    <w:rsid w:val="00F847E2"/>
    <w:rsid w:val="00F878A9"/>
    <w:rsid w:val="00F914D4"/>
    <w:rsid w:val="00FA1CB5"/>
    <w:rsid w:val="00FB0C94"/>
    <w:rsid w:val="00FB449C"/>
    <w:rsid w:val="00FC359F"/>
    <w:rsid w:val="00FC6942"/>
    <w:rsid w:val="00FC73ED"/>
    <w:rsid w:val="00FD137A"/>
    <w:rsid w:val="00FE6CFF"/>
    <w:rsid w:val="00FF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BEF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uiPriority w:val="99"/>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semiHidden/>
    <w:unhideWhenUsed/>
    <w:rsid w:val="008C084A"/>
    <w:rPr>
      <w:sz w:val="20"/>
    </w:rPr>
  </w:style>
  <w:style w:type="character" w:customStyle="1" w:styleId="CommentTextChar">
    <w:name w:val="Comment Text Char"/>
    <w:link w:val="CommentText"/>
    <w:uiPriority w:val="99"/>
    <w:semiHidden/>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customStyle="1" w:styleId="apple-converted-space">
    <w:name w:val="apple-converted-space"/>
    <w:basedOn w:val="DefaultParagraphFont"/>
    <w:rsid w:val="00210488"/>
  </w:style>
  <w:style w:type="paragraph" w:styleId="NoSpacing">
    <w:name w:val="No Spacing"/>
    <w:basedOn w:val="Normal"/>
    <w:uiPriority w:val="1"/>
    <w:qFormat/>
    <w:rsid w:val="00B90C19"/>
    <w:rPr>
      <w:rFonts w:ascii="Times New Roman" w:eastAsiaTheme="minorHAnsi" w:hAnsi="Times New Roman"/>
      <w:sz w:val="24"/>
      <w:szCs w:val="24"/>
      <w:lang w:val="en-US"/>
    </w:rPr>
  </w:style>
  <w:style w:type="paragraph" w:customStyle="1" w:styleId="Default">
    <w:name w:val="Default"/>
    <w:rsid w:val="009A4DD3"/>
    <w:pPr>
      <w:autoSpaceDE w:val="0"/>
      <w:autoSpaceDN w:val="0"/>
      <w:adjustRightInd w:val="0"/>
    </w:pPr>
    <w:rPr>
      <w:rFonts w:ascii="Arial" w:eastAsiaTheme="minorHAnsi" w:hAnsi="Arial" w:cs="Arial"/>
      <w:color w:val="000000"/>
      <w:sz w:val="24"/>
      <w:szCs w:val="24"/>
      <w:lang w:val="en-US" w:eastAsia="en-US"/>
    </w:rPr>
  </w:style>
  <w:style w:type="paragraph" w:customStyle="1" w:styleId="xmsonormal">
    <w:name w:val="x_msonormal"/>
    <w:basedOn w:val="Normal"/>
    <w:uiPriority w:val="99"/>
    <w:rsid w:val="009A4DD3"/>
    <w:rPr>
      <w:rFonts w:ascii="Times New Roman" w:eastAsiaTheme="minorHAnsi" w:hAnsi="Times New Roman"/>
      <w:sz w:val="24"/>
      <w:szCs w:val="24"/>
      <w:lang w:val="en-US"/>
    </w:rPr>
  </w:style>
  <w:style w:type="paragraph" w:styleId="Caption">
    <w:name w:val="caption"/>
    <w:basedOn w:val="Normal"/>
    <w:next w:val="Normal"/>
    <w:uiPriority w:val="35"/>
    <w:unhideWhenUsed/>
    <w:qFormat/>
    <w:rsid w:val="007C33E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2512">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336860">
      <w:bodyDiv w:val="1"/>
      <w:marLeft w:val="0"/>
      <w:marRight w:val="0"/>
      <w:marTop w:val="0"/>
      <w:marBottom w:val="0"/>
      <w:divBdr>
        <w:top w:val="none" w:sz="0" w:space="0" w:color="auto"/>
        <w:left w:val="none" w:sz="0" w:space="0" w:color="auto"/>
        <w:bottom w:val="none" w:sz="0" w:space="0" w:color="auto"/>
        <w:right w:val="none" w:sz="0" w:space="0" w:color="auto"/>
      </w:divBdr>
      <w:divsChild>
        <w:div w:id="956908909">
          <w:marLeft w:val="0"/>
          <w:marRight w:val="0"/>
          <w:marTop w:val="0"/>
          <w:marBottom w:val="0"/>
          <w:divBdr>
            <w:top w:val="none" w:sz="0" w:space="0" w:color="auto"/>
            <w:left w:val="none" w:sz="0" w:space="0" w:color="auto"/>
            <w:bottom w:val="none" w:sz="0" w:space="0" w:color="auto"/>
            <w:right w:val="none" w:sz="0" w:space="0" w:color="auto"/>
          </w:divBdr>
        </w:div>
        <w:div w:id="92670138">
          <w:marLeft w:val="0"/>
          <w:marRight w:val="0"/>
          <w:marTop w:val="0"/>
          <w:marBottom w:val="0"/>
          <w:divBdr>
            <w:top w:val="none" w:sz="0" w:space="0" w:color="auto"/>
            <w:left w:val="none" w:sz="0" w:space="0" w:color="auto"/>
            <w:bottom w:val="none" w:sz="0" w:space="0" w:color="auto"/>
            <w:right w:val="none" w:sz="0" w:space="0" w:color="auto"/>
          </w:divBdr>
        </w:div>
        <w:div w:id="1616406656">
          <w:marLeft w:val="0"/>
          <w:marRight w:val="0"/>
          <w:marTop w:val="0"/>
          <w:marBottom w:val="0"/>
          <w:divBdr>
            <w:top w:val="none" w:sz="0" w:space="0" w:color="auto"/>
            <w:left w:val="none" w:sz="0" w:space="0" w:color="auto"/>
            <w:bottom w:val="none" w:sz="0" w:space="0" w:color="auto"/>
            <w:right w:val="none" w:sz="0" w:space="0" w:color="auto"/>
          </w:divBdr>
        </w:div>
      </w:divsChild>
    </w:div>
    <w:div w:id="851070708">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429353450">
      <w:bodyDiv w:val="1"/>
      <w:marLeft w:val="0"/>
      <w:marRight w:val="0"/>
      <w:marTop w:val="0"/>
      <w:marBottom w:val="0"/>
      <w:divBdr>
        <w:top w:val="none" w:sz="0" w:space="0" w:color="auto"/>
        <w:left w:val="none" w:sz="0" w:space="0" w:color="auto"/>
        <w:bottom w:val="none" w:sz="0" w:space="0" w:color="auto"/>
        <w:right w:val="none" w:sz="0" w:space="0" w:color="auto"/>
      </w:divBdr>
    </w:div>
    <w:div w:id="1562519285">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9BAB9-F815-4B9D-B395-5AD2BC1C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8360</Characters>
  <Application>Microsoft Office Word</Application>
  <DocSecurity>0</DocSecurity>
  <Lines>69</Lines>
  <Paragraphs>19</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Scientific Network</Company>
  <LinksUpToDate>false</LinksUpToDate>
  <CharactersWithSpaces>9807</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MPrina</cp:lastModifiedBy>
  <cp:revision>2</cp:revision>
  <cp:lastPrinted>2019-12-02T16:18:00Z</cp:lastPrinted>
  <dcterms:created xsi:type="dcterms:W3CDTF">2019-12-16T08:40:00Z</dcterms:created>
  <dcterms:modified xsi:type="dcterms:W3CDTF">2019-12-16T08:40:00Z</dcterms:modified>
</cp:coreProperties>
</file>