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58248"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2B418"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1D3BB917" w:rsidR="0094137E" w:rsidRPr="001E39B6" w:rsidRDefault="0094137E" w:rsidP="0094137E">
      <w:pPr>
        <w:rPr>
          <w:rFonts w:cs="Arial"/>
          <w:sz w:val="24"/>
          <w:szCs w:val="24"/>
          <w:lang w:val="en-GB"/>
        </w:rPr>
      </w:pPr>
      <w:r w:rsidRPr="001E39B6">
        <w:rPr>
          <w:rFonts w:cs="Arial"/>
          <w:sz w:val="24"/>
          <w:szCs w:val="24"/>
          <w:lang w:val="en-GB"/>
        </w:rPr>
        <w:t>In accordance with ISO 14025</w:t>
      </w:r>
      <w:r w:rsidR="002F4900">
        <w:rPr>
          <w:rFonts w:cs="Arial"/>
          <w:sz w:val="24"/>
          <w:szCs w:val="24"/>
          <w:lang w:val="en-GB"/>
        </w:rPr>
        <w:t>:2006</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692CA7"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6B1A6E"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692CA7"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692CA7"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692CA7"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 xml:space="preserve">&lt;name, registration number, </w:t>
            </w:r>
            <w:proofErr w:type="gramStart"/>
            <w:r w:rsidRPr="004337B5">
              <w:rPr>
                <w:i/>
                <w:sz w:val="20"/>
                <w:szCs w:val="20"/>
                <w:lang w:val="en-GB"/>
              </w:rPr>
              <w:t>version</w:t>
            </w:r>
            <w:proofErr w:type="gramEnd"/>
            <w:r w:rsidRPr="004337B5">
              <w:rPr>
                <w:i/>
                <w:sz w:val="20"/>
                <w:szCs w:val="20"/>
                <w:lang w:val="en-GB"/>
              </w:rPr>
              <w:t xml:space="preserve"> and UN CPC code(s)&gt;</w:t>
            </w:r>
          </w:p>
        </w:tc>
      </w:tr>
      <w:tr w:rsidR="0094137E" w:rsidRPr="00692CA7"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692CA7"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6B1A6E"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692CA7"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6B1A6E"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692CA7"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6B1A6E"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End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63FE76AD"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w:t>
            </w:r>
            <w:r>
              <w:rPr>
                <w:iCs/>
                <w:szCs w:val="16"/>
                <w:lang w:val="en-GB"/>
              </w:rPr>
              <w:t>.</w:t>
            </w:r>
          </w:p>
        </w:tc>
      </w:tr>
      <w:tr w:rsidR="0094137E" w:rsidRPr="00692CA7"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5B8FA5DE" w14:textId="77777777" w:rsidR="0094137E" w:rsidRDefault="006B1A6E"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p w14:paraId="5F63DAC7" w14:textId="77777777" w:rsidR="00796CAB" w:rsidRDefault="00796CAB" w:rsidP="00D03212">
            <w:pPr>
              <w:pStyle w:val="Tabelltext"/>
              <w:rPr>
                <w:sz w:val="20"/>
                <w:szCs w:val="20"/>
                <w:lang w:val="en-GB"/>
              </w:rPr>
            </w:pPr>
          </w:p>
          <w:p w14:paraId="64814A84" w14:textId="14CCF48A" w:rsidR="00796CAB" w:rsidRPr="004337B5" w:rsidRDefault="00796CAB" w:rsidP="00D03212">
            <w:pPr>
              <w:pStyle w:val="Tabelltext"/>
              <w:rPr>
                <w:sz w:val="20"/>
                <w:szCs w:val="20"/>
                <w:lang w:val="en-GB"/>
              </w:rPr>
            </w:pPr>
            <w:r w:rsidRPr="00A948D2">
              <w:rPr>
                <w:color w:val="BFBFBF" w:themeColor="background1" w:themeShade="BF"/>
                <w:sz w:val="20"/>
                <w:szCs w:val="32"/>
                <w:lang w:val="en-GB"/>
              </w:rPr>
              <w:t>[</w:t>
            </w:r>
            <w:r w:rsidRPr="00A948D2">
              <w:rPr>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A948D2">
              <w:rPr>
                <w:color w:val="BFBFBF" w:themeColor="background1" w:themeShade="BF"/>
                <w:sz w:val="20"/>
                <w:szCs w:val="32"/>
                <w:lang w:val="en-GB"/>
              </w:rPr>
              <w:t>]</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 xml:space="preserve">EPDs within the same product category but from different </w:t>
      </w:r>
      <w:proofErr w:type="spellStart"/>
      <w:r w:rsidRPr="003C2759">
        <w:rPr>
          <w:lang w:val="en-US"/>
        </w:rPr>
        <w:t>programmes</w:t>
      </w:r>
      <w:proofErr w:type="spellEnd"/>
      <w:r w:rsidRPr="003C2759">
        <w:rPr>
          <w:lang w:val="en-US"/>
        </w:rPr>
        <w:t xml:space="preserve">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w:t>
      </w:r>
      <w:proofErr w:type="gramStart"/>
      <w:r w:rsidRPr="007544C9">
        <w:rPr>
          <w:rFonts w:cs="Arial"/>
          <w:color w:val="BFBFBF" w:themeColor="background1" w:themeShade="BF"/>
          <w:lang w:val="en-GB"/>
        </w:rPr>
        <w:t>e.g.</w:t>
      </w:r>
      <w:proofErr w:type="gramEnd"/>
      <w:r w:rsidRPr="007544C9">
        <w:rPr>
          <w:rFonts w:cs="Arial"/>
          <w:color w:val="BFBFBF" w:themeColor="background1" w:themeShade="BF"/>
          <w:lang w:val="en-GB"/>
        </w:rPr>
        <w:t xml:space="preserve">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 xml:space="preserve">[product description, application/intended use, technical functions, </w:t>
      </w:r>
      <w:proofErr w:type="gramStart"/>
      <w:r w:rsidRPr="004B17E0">
        <w:rPr>
          <w:rFonts w:cs="Arial"/>
          <w:color w:val="BFBFBF" w:themeColor="background1" w:themeShade="BF"/>
          <w:lang w:val="en-GB"/>
        </w:rPr>
        <w:t>e.g.</w:t>
      </w:r>
      <w:proofErr w:type="gramEnd"/>
      <w:r w:rsidRPr="004B17E0">
        <w:rPr>
          <w:rFonts w:cs="Arial"/>
          <w:color w:val="BFBFBF" w:themeColor="background1" w:themeShade="BF"/>
          <w:lang w:val="en-GB"/>
        </w:rPr>
        <w:t xml:space="preserve">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w:t>
      </w:r>
      <w:proofErr w:type="gramStart"/>
      <w:r w:rsidRPr="007544C9">
        <w:rPr>
          <w:rFonts w:cs="Arial"/>
          <w:color w:val="BFBFBF" w:themeColor="background1" w:themeShade="BF"/>
          <w:lang w:val="en-GB"/>
        </w:rPr>
        <w:t>e.g.</w:t>
      </w:r>
      <w:proofErr w:type="gramEnd"/>
      <w:r w:rsidRPr="007544C9">
        <w:rPr>
          <w:rFonts w:cs="Arial"/>
          <w:color w:val="BFBFBF" w:themeColor="background1" w:themeShade="BF"/>
          <w:lang w:val="en-GB"/>
        </w:rPr>
        <w:t xml:space="preserve">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41A48704" w14:textId="23E056FD" w:rsidR="0094137E" w:rsidRPr="002B29CF" w:rsidRDefault="002B29CF" w:rsidP="0094137E">
      <w:pPr>
        <w:rPr>
          <w:rFonts w:cs="Arial"/>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[for which geographical location(s) of use and end-of-life the product’s performance has been calculated]</w:t>
      </w:r>
    </w:p>
    <w:p w14:paraId="1A090F4C" w14:textId="77777777" w:rsidR="002B29CF" w:rsidRDefault="002B29CF"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roofErr w:type="gramStart"/>
      <w:r w:rsidR="00715840" w:rsidRPr="00715840">
        <w:rPr>
          <w:rFonts w:cs="Arial"/>
          <w:color w:val="BFBFBF" w:themeColor="background1" w:themeShade="BF"/>
          <w:lang w:val="en-GB"/>
        </w:rPr>
        <w:t>);</w:t>
      </w:r>
      <w:proofErr w:type="gramEnd"/>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roofErr w:type="gramStart"/>
      <w:r w:rsidRPr="00715840">
        <w:rPr>
          <w:rFonts w:cs="Arial"/>
          <w:color w:val="BFBFBF" w:themeColor="background1" w:themeShade="BF"/>
          <w:lang w:val="en-GB"/>
        </w:rPr>
        <w:t>.;</w:t>
      </w:r>
      <w:proofErr w:type="gramEnd"/>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roofErr w:type="gramStart"/>
      <w:r w:rsidRPr="00715840">
        <w:rPr>
          <w:rFonts w:cs="Arial"/>
          <w:color w:val="BFBFBF" w:themeColor="background1" w:themeShade="BF"/>
          <w:lang w:val="en-GB"/>
        </w:rPr>
        <w:t>);</w:t>
      </w:r>
      <w:proofErr w:type="gramEnd"/>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roofErr w:type="gramStart"/>
      <w:r w:rsidRPr="00715840">
        <w:rPr>
          <w:rFonts w:cs="Arial"/>
          <w:color w:val="BFBFBF" w:themeColor="background1" w:themeShade="BF"/>
          <w:lang w:val="en-GB"/>
        </w:rPr>
        <w:t>);</w:t>
      </w:r>
      <w:proofErr w:type="gramEnd"/>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 xml:space="preserve">The additional modules may be A4 and </w:t>
      </w:r>
      <w:proofErr w:type="gramStart"/>
      <w:r w:rsidRPr="00715840">
        <w:rPr>
          <w:rFonts w:cs="Arial"/>
          <w:color w:val="BFBFBF" w:themeColor="background1" w:themeShade="BF"/>
          <w:lang w:val="en-GB"/>
        </w:rPr>
        <w:t>A5</w:t>
      </w:r>
      <w:r w:rsidR="00E57FDA">
        <w:rPr>
          <w:rFonts w:cs="Arial"/>
          <w:color w:val="BFBFBF" w:themeColor="background1" w:themeShade="BF"/>
          <w:lang w:val="en-GB"/>
        </w:rPr>
        <w:t>;</w:t>
      </w:r>
      <w:proofErr w:type="gramEnd"/>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2F2FE5B7" w:rsidR="00E34E03" w:rsidRPr="00715840" w:rsidRDefault="00E34E03" w:rsidP="00485B3A">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r w:rsidR="00485B3A" w:rsidRPr="00485B3A">
        <w:rPr>
          <w:rFonts w:cs="Arial"/>
          <w:lang w:val="en-US"/>
        </w:rPr>
        <w:t xml:space="preserve"> </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5C6C73">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of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5C6C73">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Maintenance</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5C6C73">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5C6C73">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5C6C73">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5C6C73">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0" w:name="RANGE!I357"/>
            <w:r w:rsidRPr="008E6B93">
              <w:rPr>
                <w:b/>
                <w:color w:val="000000"/>
                <w:sz w:val="16"/>
                <w:szCs w:val="16"/>
              </w:rPr>
              <w:t>A4</w:t>
            </w:r>
            <w:bookmarkEnd w:id="0"/>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5C6C73" w:rsidRPr="00831AB5" w14:paraId="29611CC9"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5C6C73" w:rsidRPr="008E6B93" w:rsidRDefault="005C6C73"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7A14E6" w14:textId="77777777" w:rsidR="005C6C73" w:rsidRPr="008E6B93" w:rsidRDefault="005C6C73"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5D80B95C" w14:textId="77777777" w:rsidR="005C6C73" w:rsidRPr="008E6B93" w:rsidRDefault="005C6C73"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FBABA4D" w14:textId="6F680FB0" w:rsidR="005C6C73" w:rsidRPr="008E6B93" w:rsidRDefault="005C6C73"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5C6C73" w:rsidRPr="008E6B93" w:rsidRDefault="005C6C73"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r>
      <w:tr w:rsidR="005C6C73" w:rsidRPr="00831AB5" w14:paraId="582BEE2A"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5C6C73" w:rsidRPr="008E6B93" w:rsidRDefault="005C6C73"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F2D374" w14:textId="77777777" w:rsidR="005C6C73" w:rsidRPr="008E6B93" w:rsidRDefault="005C6C73"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01A6E1B6" w14:textId="77777777" w:rsidR="005C6C73" w:rsidRPr="008E6B93" w:rsidRDefault="005C6C73"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D2EA179" w14:textId="1FE778CD" w:rsidR="005C6C73" w:rsidRPr="008E6B93" w:rsidRDefault="005C6C73"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5C6C73" w:rsidRPr="008E6B93" w:rsidRDefault="005C6C73"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r>
      <w:tr w:rsidR="005C6C73" w:rsidRPr="00831AB5" w14:paraId="4E36D4AC" w14:textId="77777777" w:rsidTr="005C6C73">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5C6C73" w:rsidRPr="008E6B93" w:rsidRDefault="005C6C73" w:rsidP="00ED163C">
            <w:pPr>
              <w:keepNext/>
              <w:keepLines/>
              <w:spacing w:line="240" w:lineRule="auto"/>
              <w:jc w:val="center"/>
              <w:rPr>
                <w:sz w:val="16"/>
                <w:szCs w:val="16"/>
              </w:rPr>
            </w:pPr>
            <w:r w:rsidRPr="008E6B93">
              <w:rPr>
                <w:sz w:val="16"/>
                <w:szCs w:val="16"/>
              </w:rPr>
              <w:t>Variation – sites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30623F" w14:textId="77777777" w:rsidR="005C6C73" w:rsidRPr="008E6B93" w:rsidRDefault="005C6C73"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035D7D7" w14:textId="77777777" w:rsidR="005C6C73" w:rsidRPr="008E6B93" w:rsidRDefault="005C6C73"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4749739" w14:textId="2DE35448" w:rsidR="005C6C73" w:rsidRPr="008E6B93" w:rsidRDefault="005C6C73"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5C6C73" w:rsidRPr="008E6B93" w:rsidRDefault="005C6C73"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5C6C73" w:rsidRPr="008E6B93" w:rsidRDefault="005C6C73"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40AFA5B1" w:rsidR="002245C5" w:rsidRDefault="001A6EBB">
      <w:pPr>
        <w:spacing w:after="200"/>
        <w:rPr>
          <w:rFonts w:cs="Arial"/>
          <w:b/>
          <w:color w:val="1E6052"/>
          <w:sz w:val="32"/>
          <w:lang w:val="en-GB"/>
        </w:rPr>
      </w:pPr>
      <w:r>
        <w:rPr>
          <w:rFonts w:cs="Arial"/>
          <w:color w:val="BFBFBF" w:themeColor="background1" w:themeShade="BF"/>
          <w:lang w:val="en-GB"/>
        </w:rPr>
        <w:t>The table is adapted for physical products and may have to be modified when declaring service products.</w:t>
      </w:r>
      <w:r w:rsidR="002245C5" w:rsidRPr="001A6EBB">
        <w:rPr>
          <w:lang w:val="en-GB"/>
        </w:rP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1"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1"/>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692CA7"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014E6987" w14:textId="77777777" w:rsidR="00645E7C" w:rsidRDefault="00645E7C" w:rsidP="00645E7C">
      <w:pPr>
        <w:pStyle w:val="Head1"/>
      </w:pPr>
      <w:r>
        <w:lastRenderedPageBreak/>
        <w:t>Results of the environmental performance indicators</w:t>
      </w:r>
    </w:p>
    <w:p w14:paraId="7BBAA6FE" w14:textId="77777777" w:rsidR="00EE5B71" w:rsidRPr="00645E7C" w:rsidRDefault="00EE5B71" w:rsidP="008B10DB">
      <w:pPr>
        <w:pStyle w:val="Head1"/>
        <w:rPr>
          <w:b w:val="0"/>
          <w:color w:val="BFBFBF" w:themeColor="background1" w:themeShade="BF"/>
          <w:sz w:val="20"/>
        </w:rPr>
      </w:pPr>
    </w:p>
    <w:p w14:paraId="55A1F456" w14:textId="6C1EFC1C" w:rsidR="00EE5B71" w:rsidRDefault="00EE5B71" w:rsidP="008B10DB">
      <w:pPr>
        <w:pStyle w:val="Head1"/>
        <w:rPr>
          <w:b w:val="0"/>
          <w:sz w:val="40"/>
        </w:rPr>
      </w:pPr>
      <w:bookmarkStart w:id="2" w:name="_Hlk30153241"/>
      <w:r w:rsidRPr="00EE5B71">
        <w:rPr>
          <w:b w:val="0"/>
          <w:color w:val="BFBFBF" w:themeColor="background1" w:themeShade="BF"/>
          <w:sz w:val="20"/>
          <w:lang w:val="en-US"/>
        </w:rPr>
        <w:t>For construction services, the total value of A1-A3 shall be replaced with the total value of A1-A5.</w:t>
      </w:r>
    </w:p>
    <w:bookmarkEnd w:id="2"/>
    <w:p w14:paraId="2D352D7E" w14:textId="77777777" w:rsidR="00EE5B71" w:rsidRPr="006D7BC4" w:rsidRDefault="00EE5B71" w:rsidP="008B10DB">
      <w:pPr>
        <w:pStyle w:val="Head1"/>
        <w:rPr>
          <w:b w:val="0"/>
          <w:sz w:val="20"/>
        </w:rPr>
      </w:pPr>
    </w:p>
    <w:p w14:paraId="515E84F0" w14:textId="77777777" w:rsidR="00645E7C" w:rsidRDefault="00645E7C" w:rsidP="00645E7C">
      <w:pPr>
        <w:pStyle w:val="Head2"/>
      </w:pPr>
      <w:r>
        <w:t xml:space="preserve">Mandatory impact category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692CA7"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3"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3"/>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 xml:space="preserve">kg CFC 11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 xml:space="preserve">kg P </w:t>
            </w:r>
            <w:proofErr w:type="spellStart"/>
            <w:r w:rsidRPr="001228C2">
              <w:rPr>
                <w:sz w:val="16"/>
                <w:szCs w:val="16"/>
              </w:rPr>
              <w:t>eq</w:t>
            </w:r>
            <w:proofErr w:type="spellEnd"/>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 xml:space="preserve">kg N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 xml:space="preserve">mol N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 xml:space="preserve">kg NMVOC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 xml:space="preserve">kg Sb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692CA7"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proofErr w:type="spellStart"/>
            <w:r w:rsidRPr="00DD67CB">
              <w:rPr>
                <w:sz w:val="16"/>
                <w:szCs w:val="16"/>
              </w:rPr>
              <w:t>Acronym</w:t>
            </w:r>
            <w:r w:rsidR="00C121BD">
              <w:rPr>
                <w:sz w:val="16"/>
                <w:szCs w:val="16"/>
              </w:rPr>
              <w:t>s</w:t>
            </w:r>
            <w:proofErr w:type="spellEnd"/>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55633B56" w14:textId="77777777" w:rsidR="00645E7C" w:rsidRDefault="00645E7C" w:rsidP="00645E7C">
      <w:pPr>
        <w:pStyle w:val="Head2"/>
      </w:pPr>
      <w:r>
        <w:t>A</w:t>
      </w:r>
      <w:r w:rsidRPr="00184589">
        <w:t xml:space="preserve">dditional mandatory and voluntary </w:t>
      </w:r>
      <w:r>
        <w:t xml:space="preserve">impact category </w:t>
      </w:r>
      <w:r w:rsidRPr="00184589">
        <w:t>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692CA7"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FootnoteReference"/>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w:t>
            </w:r>
            <w:proofErr w:type="spellStart"/>
            <w:r w:rsidRPr="00DD67CB">
              <w:rPr>
                <w:sz w:val="16"/>
                <w:szCs w:val="16"/>
              </w:rPr>
              <w:t>eq</w:t>
            </w:r>
            <w:proofErr w:type="spellEnd"/>
            <w:r w:rsidRPr="00DD67CB">
              <w:rPr>
                <w:sz w:val="16"/>
                <w:szCs w:val="16"/>
              </w:rPr>
              <w:t>.</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692CA7"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 xml:space="preserve">Additional voluntary indicators </w:t>
            </w:r>
            <w:proofErr w:type="gramStart"/>
            <w:r w:rsidRPr="00EE5B71">
              <w:rPr>
                <w:i/>
                <w:sz w:val="16"/>
                <w:szCs w:val="16"/>
                <w:lang w:val="en-US"/>
              </w:rPr>
              <w:t>e.g.</w:t>
            </w:r>
            <w:proofErr w:type="gramEnd"/>
            <w:r w:rsidRPr="00EE5B71">
              <w:rPr>
                <w:i/>
                <w:sz w:val="16"/>
                <w:szCs w:val="16"/>
                <w:lang w:val="en-US"/>
              </w:rPr>
              <w:t xml:space="preserve">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52CE361A" w14:textId="77777777" w:rsidR="00645E7C" w:rsidRDefault="00645E7C" w:rsidP="00645E7C">
      <w:pPr>
        <w:rPr>
          <w:rFonts w:cs="Arial"/>
          <w:b/>
          <w:sz w:val="24"/>
          <w:lang w:val="en-GB"/>
        </w:rPr>
      </w:pPr>
      <w:r>
        <w:rPr>
          <w:rFonts w:cs="Arial"/>
          <w:b/>
          <w:sz w:val="24"/>
          <w:lang w:val="en-GB"/>
        </w:rPr>
        <w:t>Resource use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692CA7"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692CA7"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t>Acronym</w:t>
            </w:r>
            <w:r w:rsidR="000C035D">
              <w:rPr>
                <w:sz w:val="16"/>
                <w:szCs w:val="16"/>
              </w:rPr>
              <w:t>s</w:t>
            </w:r>
            <w:proofErr w:type="spellEnd"/>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24BCE1F3" w14:textId="77777777" w:rsidR="00645E7C" w:rsidRPr="00B1629D" w:rsidRDefault="00645E7C" w:rsidP="00645E7C">
      <w:pPr>
        <w:spacing w:after="200"/>
        <w:rPr>
          <w:rFonts w:cs="Arial"/>
          <w:b/>
          <w:sz w:val="24"/>
          <w:lang w:val="en-GB"/>
        </w:rPr>
      </w:pPr>
      <w:r w:rsidRPr="00B06D80">
        <w:rPr>
          <w:rFonts w:cs="Arial"/>
          <w:b/>
          <w:sz w:val="24"/>
          <w:lang w:val="en-GB"/>
        </w:rPr>
        <w:t xml:space="preserve">Waste </w:t>
      </w:r>
      <w:r>
        <w:rPr>
          <w:rFonts w:cs="Arial"/>
          <w:b/>
          <w:sz w:val="24"/>
          <w:lang w:val="en-GB"/>
        </w:rPr>
        <w:t>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692CA7"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30DA2E62" w14:textId="77777777" w:rsidR="00645E7C" w:rsidRPr="00B1629D" w:rsidRDefault="00645E7C" w:rsidP="00645E7C">
      <w:pPr>
        <w:spacing w:after="200"/>
        <w:rPr>
          <w:rFonts w:cs="Arial"/>
          <w:b/>
          <w:sz w:val="24"/>
          <w:lang w:val="en-GB"/>
        </w:rPr>
      </w:pPr>
      <w:r>
        <w:rPr>
          <w:rFonts w:cs="Arial"/>
          <w:b/>
          <w:sz w:val="24"/>
          <w:lang w:val="en-GB"/>
        </w:rPr>
        <w:t>Output flow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692CA7"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leGrid"/>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692CA7"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71456CF8" w14:textId="77777777" w:rsidR="00645E7C" w:rsidRPr="006135D5" w:rsidRDefault="00645E7C" w:rsidP="00645E7C">
      <w:pPr>
        <w:rPr>
          <w:rFonts w:cs="Arial"/>
          <w:b/>
          <w:sz w:val="24"/>
          <w:lang w:val="en-GB"/>
        </w:rPr>
      </w:pPr>
      <w:r w:rsidRPr="006135D5">
        <w:rPr>
          <w:rFonts w:cs="Arial"/>
          <w:b/>
          <w:sz w:val="24"/>
          <w:lang w:val="en-GB"/>
        </w:rPr>
        <w:t>Other environmental performance indicators</w:t>
      </w:r>
    </w:p>
    <w:p w14:paraId="0F725FB5" w14:textId="77777777" w:rsidR="00645E7C" w:rsidRDefault="00645E7C" w:rsidP="00645E7C">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387CA0A6" w14:textId="30037322" w:rsidR="00645E7C" w:rsidRPr="00692CA7" w:rsidRDefault="00645E7C" w:rsidP="00645E7C">
      <w:pPr>
        <w:rPr>
          <w:lang w:val="en-US"/>
        </w:rPr>
      </w:pPr>
    </w:p>
    <w:p w14:paraId="00E665AC" w14:textId="77777777" w:rsidR="00692CA7" w:rsidRPr="00C244B2" w:rsidRDefault="00692CA7" w:rsidP="00692CA7">
      <w:pPr>
        <w:pStyle w:val="Head1"/>
      </w:pPr>
      <w:bookmarkStart w:id="4" w:name="_Hlk125480655"/>
      <w:r>
        <w:t>A</w:t>
      </w:r>
      <w:r w:rsidRPr="007544C9">
        <w:t xml:space="preserve">dditional </w:t>
      </w:r>
      <w:r>
        <w:t xml:space="preserve">environmental </w:t>
      </w:r>
      <w:r w:rsidRPr="007544C9">
        <w:t>information</w:t>
      </w:r>
    </w:p>
    <w:bookmarkEnd w:id="4"/>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1DBB094B" w:rsidR="00CF11DA" w:rsidRPr="00CF11DA" w:rsidRDefault="00692CA7" w:rsidP="00CF11DA">
      <w:pPr>
        <w:rPr>
          <w:rFonts w:cs="Arial"/>
          <w:i/>
          <w:color w:val="BFBFBF" w:themeColor="background1" w:themeShade="BF"/>
          <w:lang w:val="en-GB"/>
        </w:rPr>
      </w:pPr>
      <w:r w:rsidRPr="00692CA7">
        <w:rPr>
          <w:rFonts w:cs="Arial"/>
          <w:i/>
          <w:color w:val="BFBFBF" w:themeColor="background1" w:themeShade="BF"/>
          <w:lang w:val="en-GB"/>
        </w:rPr>
        <w:t>An EPD may include additional environmental information, in addition to the LCA results of the section on environmental performance results. The additional environmental information may cover various aspects of specific relevance for the product, for example:</w:t>
      </w:r>
    </w:p>
    <w:p w14:paraId="112442F2" w14:textId="77777777" w:rsidR="00CF11DA" w:rsidRPr="00692CA7" w:rsidRDefault="00CF11DA" w:rsidP="00692CA7">
      <w:pPr>
        <w:pStyle w:val="ListaPunkter"/>
        <w:numPr>
          <w:ilvl w:val="0"/>
          <w:numId w:val="4"/>
        </w:numPr>
        <w:tabs>
          <w:tab w:val="num" w:pos="454"/>
        </w:tabs>
        <w:ind w:left="454" w:hanging="454"/>
        <w:rPr>
          <w:color w:val="BFBFBF" w:themeColor="background1" w:themeShade="BF"/>
          <w:sz w:val="20"/>
          <w:szCs w:val="20"/>
        </w:rPr>
      </w:pPr>
      <w:r w:rsidRPr="00692CA7">
        <w:rPr>
          <w:color w:val="BFBFBF" w:themeColor="background1" w:themeShade="BF"/>
          <w:sz w:val="20"/>
          <w:szCs w:val="20"/>
        </w:rPr>
        <w:t xml:space="preserve">instruction for a proper use of the product, </w:t>
      </w:r>
      <w:proofErr w:type="gramStart"/>
      <w:r w:rsidRPr="00692CA7">
        <w:rPr>
          <w:color w:val="BFBFBF" w:themeColor="background1" w:themeShade="BF"/>
          <w:sz w:val="20"/>
          <w:szCs w:val="20"/>
        </w:rPr>
        <w:t>e.g.</w:t>
      </w:r>
      <w:proofErr w:type="gramEnd"/>
      <w:r w:rsidRPr="00692CA7">
        <w:rPr>
          <w:color w:val="BFBFBF" w:themeColor="background1" w:themeShade="BF"/>
          <w:sz w:val="20"/>
          <w:szCs w:val="20"/>
        </w:rPr>
        <w:t xml:space="preserve"> to minimise the energy or water consumption or to improve the durability of the</w:t>
      </w:r>
      <w:r w:rsidR="00D81BD0" w:rsidRPr="00692CA7">
        <w:rPr>
          <w:color w:val="BFBFBF" w:themeColor="background1" w:themeShade="BF"/>
          <w:sz w:val="20"/>
          <w:szCs w:val="20"/>
        </w:rPr>
        <w:t xml:space="preserve"> </w:t>
      </w:r>
      <w:r w:rsidRPr="00692CA7">
        <w:rPr>
          <w:color w:val="BFBFBF" w:themeColor="background1" w:themeShade="BF"/>
          <w:sz w:val="20"/>
          <w:szCs w:val="20"/>
        </w:rPr>
        <w:t>product;</w:t>
      </w:r>
    </w:p>
    <w:p w14:paraId="3728FBCE" w14:textId="77777777" w:rsidR="00CF11DA" w:rsidRPr="00692CA7" w:rsidRDefault="00CF11DA" w:rsidP="00692CA7">
      <w:pPr>
        <w:pStyle w:val="ListaPunkter"/>
        <w:numPr>
          <w:ilvl w:val="0"/>
          <w:numId w:val="4"/>
        </w:numPr>
        <w:tabs>
          <w:tab w:val="num" w:pos="454"/>
        </w:tabs>
        <w:ind w:left="454" w:hanging="454"/>
        <w:rPr>
          <w:color w:val="BFBFBF" w:themeColor="background1" w:themeShade="BF"/>
          <w:sz w:val="20"/>
          <w:szCs w:val="20"/>
        </w:rPr>
      </w:pPr>
      <w:r w:rsidRPr="00692CA7">
        <w:rPr>
          <w:color w:val="BFBFBF" w:themeColor="background1" w:themeShade="BF"/>
          <w:sz w:val="20"/>
          <w:szCs w:val="20"/>
        </w:rPr>
        <w:t xml:space="preserve">instructions for a proper maintenance and service of the </w:t>
      </w:r>
      <w:proofErr w:type="gramStart"/>
      <w:r w:rsidRPr="00692CA7">
        <w:rPr>
          <w:color w:val="BFBFBF" w:themeColor="background1" w:themeShade="BF"/>
          <w:sz w:val="20"/>
          <w:szCs w:val="20"/>
        </w:rPr>
        <w:t>product;</w:t>
      </w:r>
      <w:proofErr w:type="gramEnd"/>
    </w:p>
    <w:p w14:paraId="3A50E906" w14:textId="77777777" w:rsidR="00CF11DA" w:rsidRPr="00692CA7" w:rsidRDefault="00CF11DA" w:rsidP="00692CA7">
      <w:pPr>
        <w:pStyle w:val="ListaPunkter"/>
        <w:numPr>
          <w:ilvl w:val="0"/>
          <w:numId w:val="4"/>
        </w:numPr>
        <w:tabs>
          <w:tab w:val="num" w:pos="454"/>
        </w:tabs>
        <w:ind w:left="454" w:hanging="454"/>
        <w:rPr>
          <w:color w:val="BFBFBF" w:themeColor="background1" w:themeShade="BF"/>
          <w:sz w:val="20"/>
          <w:szCs w:val="20"/>
        </w:rPr>
      </w:pPr>
      <w:r w:rsidRPr="00692CA7">
        <w:rPr>
          <w:color w:val="BFBFBF" w:themeColor="background1" w:themeShade="BF"/>
          <w:sz w:val="20"/>
          <w:szCs w:val="20"/>
        </w:rPr>
        <w:t xml:space="preserve">information on key parts of the product determining its </w:t>
      </w:r>
      <w:proofErr w:type="gramStart"/>
      <w:r w:rsidRPr="00692CA7">
        <w:rPr>
          <w:color w:val="BFBFBF" w:themeColor="background1" w:themeShade="BF"/>
          <w:sz w:val="20"/>
          <w:szCs w:val="20"/>
        </w:rPr>
        <w:t>durability;</w:t>
      </w:r>
      <w:proofErr w:type="gramEnd"/>
    </w:p>
    <w:p w14:paraId="4D086731" w14:textId="77777777" w:rsidR="00CF11DA" w:rsidRPr="00692CA7" w:rsidRDefault="00CF11DA" w:rsidP="00692CA7">
      <w:pPr>
        <w:pStyle w:val="ListaPunkter"/>
        <w:numPr>
          <w:ilvl w:val="0"/>
          <w:numId w:val="4"/>
        </w:numPr>
        <w:tabs>
          <w:tab w:val="num" w:pos="454"/>
        </w:tabs>
        <w:ind w:left="454" w:hanging="454"/>
        <w:rPr>
          <w:color w:val="BFBFBF" w:themeColor="background1" w:themeShade="BF"/>
          <w:sz w:val="20"/>
          <w:szCs w:val="20"/>
        </w:rPr>
      </w:pPr>
      <w:r w:rsidRPr="00692CA7">
        <w:rPr>
          <w:color w:val="BFBFBF" w:themeColor="background1" w:themeShade="BF"/>
          <w:sz w:val="20"/>
          <w:szCs w:val="20"/>
        </w:rPr>
        <w:t xml:space="preserve">information on recycling including </w:t>
      </w:r>
      <w:proofErr w:type="gramStart"/>
      <w:r w:rsidRPr="00692CA7">
        <w:rPr>
          <w:color w:val="BFBFBF" w:themeColor="background1" w:themeShade="BF"/>
          <w:sz w:val="20"/>
          <w:szCs w:val="20"/>
        </w:rPr>
        <w:t>e.g.</w:t>
      </w:r>
      <w:proofErr w:type="gramEnd"/>
      <w:r w:rsidRPr="00692CA7">
        <w:rPr>
          <w:color w:val="BFBFBF" w:themeColor="background1" w:themeShade="BF"/>
          <w:sz w:val="20"/>
          <w:szCs w:val="20"/>
        </w:rPr>
        <w:t xml:space="preserve"> suitable procedures for recycling the entire product or selected parts and the potential</w:t>
      </w:r>
      <w:r w:rsidR="00D81BD0" w:rsidRPr="00692CA7">
        <w:rPr>
          <w:color w:val="BFBFBF" w:themeColor="background1" w:themeShade="BF"/>
          <w:sz w:val="20"/>
          <w:szCs w:val="20"/>
        </w:rPr>
        <w:t xml:space="preserve"> </w:t>
      </w:r>
      <w:r w:rsidRPr="00692CA7">
        <w:rPr>
          <w:color w:val="BFBFBF" w:themeColor="background1" w:themeShade="BF"/>
          <w:sz w:val="20"/>
          <w:szCs w:val="20"/>
        </w:rPr>
        <w:t>environmental benefits gained;</w:t>
      </w:r>
    </w:p>
    <w:p w14:paraId="566B9EBD" w14:textId="77777777" w:rsidR="00CF11DA" w:rsidRPr="00692CA7" w:rsidRDefault="00CF11DA" w:rsidP="00692CA7">
      <w:pPr>
        <w:pStyle w:val="ListaPunkter"/>
        <w:numPr>
          <w:ilvl w:val="0"/>
          <w:numId w:val="4"/>
        </w:numPr>
        <w:tabs>
          <w:tab w:val="num" w:pos="454"/>
        </w:tabs>
        <w:ind w:left="454" w:hanging="454"/>
        <w:rPr>
          <w:color w:val="BFBFBF" w:themeColor="background1" w:themeShade="BF"/>
          <w:sz w:val="20"/>
          <w:szCs w:val="20"/>
        </w:rPr>
      </w:pPr>
      <w:r w:rsidRPr="00692CA7">
        <w:rPr>
          <w:color w:val="BFBFBF" w:themeColor="background1" w:themeShade="BF"/>
          <w:sz w:val="20"/>
          <w:szCs w:val="20"/>
        </w:rPr>
        <w:t>information on a suitable method of reuse of the product (or parts of the products) and procedures for disposal as waste at the</w:t>
      </w:r>
      <w:r w:rsidR="00D81BD0" w:rsidRPr="00692CA7">
        <w:rPr>
          <w:color w:val="BFBFBF" w:themeColor="background1" w:themeShade="BF"/>
          <w:sz w:val="20"/>
          <w:szCs w:val="20"/>
        </w:rPr>
        <w:t xml:space="preserve"> </w:t>
      </w:r>
      <w:r w:rsidRPr="00692CA7">
        <w:rPr>
          <w:color w:val="BFBFBF" w:themeColor="background1" w:themeShade="BF"/>
          <w:sz w:val="20"/>
          <w:szCs w:val="20"/>
        </w:rPr>
        <w:t>end of its life cycle, and</w:t>
      </w:r>
    </w:p>
    <w:p w14:paraId="79B58DA0" w14:textId="77777777" w:rsidR="00692CA7" w:rsidRDefault="00CF11DA" w:rsidP="00692CA7">
      <w:pPr>
        <w:pStyle w:val="ListaPunkter"/>
        <w:numPr>
          <w:ilvl w:val="0"/>
          <w:numId w:val="4"/>
        </w:numPr>
        <w:tabs>
          <w:tab w:val="num" w:pos="454"/>
        </w:tabs>
        <w:ind w:left="454" w:hanging="454"/>
        <w:rPr>
          <w:color w:val="BFBFBF" w:themeColor="background1" w:themeShade="BF"/>
          <w:sz w:val="20"/>
          <w:szCs w:val="20"/>
        </w:rPr>
      </w:pPr>
      <w:r w:rsidRPr="00692CA7">
        <w:rPr>
          <w:color w:val="BFBFBF" w:themeColor="background1" w:themeShade="BF"/>
          <w:sz w:val="20"/>
          <w:szCs w:val="20"/>
        </w:rPr>
        <w:t>information regarding disposal of the product or inherent materials, and any other information considered necessary to</w:t>
      </w:r>
      <w:r w:rsidR="00D81BD0" w:rsidRPr="00692CA7">
        <w:rPr>
          <w:color w:val="BFBFBF" w:themeColor="background1" w:themeShade="BF"/>
          <w:sz w:val="20"/>
          <w:szCs w:val="20"/>
        </w:rPr>
        <w:t xml:space="preserve"> </w:t>
      </w:r>
      <w:r w:rsidRPr="00692CA7">
        <w:rPr>
          <w:color w:val="BFBFBF" w:themeColor="background1" w:themeShade="BF"/>
          <w:sz w:val="20"/>
          <w:szCs w:val="20"/>
        </w:rPr>
        <w:t>minimise the product’s end-of-life impacts.</w:t>
      </w:r>
    </w:p>
    <w:p w14:paraId="56FC42BA" w14:textId="77777777" w:rsidR="00692CA7" w:rsidRDefault="00692CA7" w:rsidP="00692CA7">
      <w:pPr>
        <w:pStyle w:val="ListaPunkter"/>
        <w:numPr>
          <w:ilvl w:val="0"/>
          <w:numId w:val="4"/>
        </w:numPr>
        <w:tabs>
          <w:tab w:val="num" w:pos="454"/>
        </w:tabs>
        <w:ind w:left="454" w:hanging="454"/>
        <w:rPr>
          <w:color w:val="BFBFBF" w:themeColor="background1" w:themeShade="BF"/>
          <w:sz w:val="20"/>
          <w:szCs w:val="20"/>
        </w:rPr>
      </w:pPr>
      <w:r w:rsidRPr="00692CA7">
        <w:rPr>
          <w:color w:val="BFBFBF" w:themeColor="background1" w:themeShade="BF"/>
          <w:sz w:val="20"/>
          <w:szCs w:val="20"/>
        </w:rPr>
        <w:t>a more detailed description of an organisation’s overall environmental work such as:</w:t>
      </w:r>
    </w:p>
    <w:p w14:paraId="717D613F" w14:textId="6B6684A9" w:rsidR="00692CA7" w:rsidRPr="00692CA7" w:rsidRDefault="00692CA7" w:rsidP="00692CA7">
      <w:pPr>
        <w:pStyle w:val="ListParagraph"/>
        <w:numPr>
          <w:ilvl w:val="0"/>
          <w:numId w:val="5"/>
        </w:numPr>
        <w:rPr>
          <w:rFonts w:cs="Arial"/>
          <w:i/>
          <w:color w:val="BFBFBF" w:themeColor="background1" w:themeShade="BF"/>
          <w:lang w:val="en-GB"/>
        </w:rPr>
      </w:pPr>
      <w:r w:rsidRPr="00692CA7">
        <w:rPr>
          <w:rFonts w:cs="Arial"/>
          <w:i/>
          <w:color w:val="BFBFBF" w:themeColor="background1" w:themeShade="BF"/>
          <w:lang w:val="en-GB"/>
        </w:rPr>
        <w:t>the existence of a quality or environmental management system or any type of organised environmental activity, and</w:t>
      </w:r>
    </w:p>
    <w:p w14:paraId="165FE8DE" w14:textId="77777777" w:rsidR="00692CA7" w:rsidRPr="00692CA7" w:rsidRDefault="00692CA7" w:rsidP="00692CA7">
      <w:pPr>
        <w:pStyle w:val="ListParagraph"/>
        <w:numPr>
          <w:ilvl w:val="0"/>
          <w:numId w:val="5"/>
        </w:numPr>
        <w:rPr>
          <w:rFonts w:cs="Arial"/>
          <w:i/>
          <w:color w:val="BFBFBF" w:themeColor="background1" w:themeShade="BF"/>
          <w:lang w:val="en-GB"/>
        </w:rPr>
      </w:pPr>
      <w:r w:rsidRPr="00692CA7">
        <w:rPr>
          <w:rFonts w:cs="Arial"/>
          <w:i/>
          <w:color w:val="BFBFBF" w:themeColor="background1" w:themeShade="BF"/>
          <w:lang w:val="en-GB"/>
        </w:rPr>
        <w:t>information on where interested parties may find more details about the organisation’s environmental work.</w:t>
      </w:r>
    </w:p>
    <w:p w14:paraId="3D94764F" w14:textId="77777777" w:rsidR="00692CA7" w:rsidRDefault="00692CA7" w:rsidP="00692CA7">
      <w:pPr>
        <w:rPr>
          <w:rFonts w:cs="Arial"/>
          <w:i/>
          <w:color w:val="BFBFBF" w:themeColor="background1" w:themeShade="BF"/>
          <w:lang w:val="en-GB"/>
        </w:rPr>
      </w:pPr>
      <w:bookmarkStart w:id="5" w:name="_Hlk125480536"/>
    </w:p>
    <w:p w14:paraId="2E64B99F" w14:textId="6182ADA8" w:rsidR="00692CA7" w:rsidRPr="00C244B2" w:rsidRDefault="00692CA7" w:rsidP="00692CA7">
      <w:pPr>
        <w:rPr>
          <w:rFonts w:cs="Arial"/>
          <w:iCs/>
          <w:color w:val="BFBFBF" w:themeColor="background1" w:themeShade="BF"/>
          <w:lang w:val="en-GB"/>
        </w:rPr>
      </w:pPr>
      <w:r w:rsidRPr="00C244B2">
        <w:rPr>
          <w:rFonts w:cs="Arial"/>
          <w:iCs/>
          <w:color w:val="BFBFBF" w:themeColor="background1" w:themeShade="BF"/>
          <w:lang w:val="en-GB"/>
        </w:rPr>
        <w:t>Additional</w:t>
      </w:r>
      <w:r>
        <w:rPr>
          <w:rFonts w:cs="Arial"/>
          <w:iCs/>
          <w:color w:val="BFBFBF" w:themeColor="background1" w:themeShade="BF"/>
          <w:lang w:val="en-GB"/>
        </w:rPr>
        <w:t xml:space="preserve"> environmental</w:t>
      </w:r>
      <w:r w:rsidRPr="00C244B2">
        <w:rPr>
          <w:rFonts w:cs="Arial"/>
          <w:iCs/>
          <w:color w:val="BFBFBF" w:themeColor="background1" w:themeShade="BF"/>
          <w:lang w:val="en-GB"/>
        </w:rPr>
        <w:t xml:space="preserve"> information can also include information on carbon offset, carbon storage and delayed emissions, or on release of dangerous substances to indoor air, </w:t>
      </w:r>
      <w:proofErr w:type="gramStart"/>
      <w:r w:rsidRPr="00C244B2">
        <w:rPr>
          <w:rFonts w:cs="Arial"/>
          <w:iCs/>
          <w:color w:val="BFBFBF" w:themeColor="background1" w:themeShade="BF"/>
          <w:lang w:val="en-GB"/>
        </w:rPr>
        <w:t>soil</w:t>
      </w:r>
      <w:proofErr w:type="gramEnd"/>
      <w:r w:rsidRPr="00C244B2">
        <w:rPr>
          <w:rFonts w:cs="Arial"/>
          <w:iCs/>
          <w:color w:val="BFBFBF" w:themeColor="background1" w:themeShade="BF"/>
          <w:lang w:val="en-GB"/>
        </w:rPr>
        <w:t xml:space="preserve"> and water during the use stage.  </w:t>
      </w:r>
    </w:p>
    <w:bookmarkEnd w:id="5"/>
    <w:p w14:paraId="0A95C2F4" w14:textId="77777777" w:rsidR="00692CA7" w:rsidRDefault="00692CA7" w:rsidP="00D81BD0">
      <w:pPr>
        <w:rPr>
          <w:rFonts w:cs="Arial"/>
          <w:i/>
          <w:color w:val="BFBFBF" w:themeColor="background1" w:themeShade="BF"/>
          <w:lang w:val="en-GB"/>
        </w:rPr>
      </w:pPr>
    </w:p>
    <w:p w14:paraId="6DA1D80D" w14:textId="77777777" w:rsidR="00374117" w:rsidRDefault="00374117" w:rsidP="00D81BD0">
      <w:pPr>
        <w:rPr>
          <w:rFonts w:cs="Arial"/>
          <w:i/>
          <w:color w:val="BFBFBF" w:themeColor="background1" w:themeShade="BF"/>
          <w:lang w:val="en-GB"/>
        </w:rPr>
      </w:pPr>
    </w:p>
    <w:p w14:paraId="18FBFB73" w14:textId="196223F0" w:rsidR="00692CA7" w:rsidRDefault="00692CA7" w:rsidP="00692CA7">
      <w:pPr>
        <w:rPr>
          <w:rFonts w:cs="Arial"/>
          <w:b/>
          <w:color w:val="1E6052"/>
          <w:sz w:val="32"/>
          <w:lang w:val="en-GB"/>
        </w:rPr>
      </w:pPr>
      <w:r>
        <w:rPr>
          <w:rFonts w:cs="Arial"/>
          <w:b/>
          <w:color w:val="1E6052"/>
          <w:sz w:val="32"/>
          <w:lang w:val="en-GB"/>
        </w:rPr>
        <w:t>Additional social and economic information</w:t>
      </w:r>
    </w:p>
    <w:p w14:paraId="15EA2141" w14:textId="77777777" w:rsidR="00692CA7" w:rsidRDefault="00692CA7" w:rsidP="00692CA7">
      <w:pPr>
        <w:rPr>
          <w:rFonts w:cs="Arial"/>
          <w:iCs/>
          <w:color w:val="BFBFBF" w:themeColor="background1" w:themeShade="BF"/>
          <w:lang w:val="en-GB"/>
        </w:rPr>
      </w:pPr>
      <w:r w:rsidRPr="006135D5">
        <w:rPr>
          <w:rFonts w:cs="Arial"/>
          <w:iCs/>
          <w:color w:val="BFBFBF" w:themeColor="background1" w:themeShade="BF"/>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520A701C" w14:textId="77777777" w:rsidR="00692CA7" w:rsidRPr="006135D5" w:rsidRDefault="00692CA7" w:rsidP="00692CA7">
      <w:pPr>
        <w:rPr>
          <w:rFonts w:cs="Arial"/>
          <w:iCs/>
          <w:color w:val="BFBFBF" w:themeColor="background1" w:themeShade="BF"/>
          <w:lang w:val="en-GB"/>
        </w:rPr>
      </w:pPr>
    </w:p>
    <w:p w14:paraId="3782336F" w14:textId="757BD688" w:rsidR="00692CA7" w:rsidRDefault="00692CA7" w:rsidP="00692CA7">
      <w:pPr>
        <w:rPr>
          <w:rFonts w:cs="Arial"/>
          <w:i/>
          <w:color w:val="BFBFBF" w:themeColor="background1" w:themeShade="BF"/>
          <w:lang w:val="en-GB"/>
        </w:rPr>
      </w:pPr>
      <w:r w:rsidRPr="006135D5">
        <w:rPr>
          <w:rFonts w:cs="Arial"/>
          <w:iCs/>
          <w:color w:val="BFBFBF" w:themeColor="background1" w:themeShade="BF"/>
          <w:lang w:val="en-GB"/>
        </w:rPr>
        <w:t>Any additional social and economic information declared shall be substantiated and verifiable, and be derived using appropriate methods and be specific, accurate, not misleading, and relevant to the specific product. Quantitative information is preferred over qualitative information</w:t>
      </w:r>
    </w:p>
    <w:p w14:paraId="049DBA5E" w14:textId="77777777" w:rsidR="00692CA7" w:rsidRDefault="00692CA7" w:rsidP="00715840">
      <w:pPr>
        <w:pStyle w:val="Head1"/>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 xml:space="preserve">a description of the differences versus previously published versions, </w:t>
      </w:r>
      <w:proofErr w:type="gramStart"/>
      <w:r w:rsidRPr="00E358E6">
        <w:rPr>
          <w:rFonts w:cs="Arial"/>
          <w:i/>
          <w:color w:val="BFBFBF" w:themeColor="background1" w:themeShade="BF"/>
          <w:lang w:val="en-GB"/>
        </w:rPr>
        <w:t>e.g.</w:t>
      </w:r>
      <w:proofErr w:type="gramEnd"/>
      <w:r w:rsidRPr="00E358E6">
        <w:rPr>
          <w:rFonts w:cs="Arial"/>
          <w:i/>
          <w:color w:val="BFBFBF" w:themeColor="background1" w:themeShade="BF"/>
          <w:lang w:val="en-GB"/>
        </w:rPr>
        <w:t xml:space="preserve"> a description of the percentage change in results and the main reason for the change;</w:t>
      </w:r>
    </w:p>
    <w:p w14:paraId="6A229E7F" w14:textId="77E412CE"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692CA7" w:rsidRDefault="009A354E" w:rsidP="003C2759">
      <w:pPr>
        <w:rPr>
          <w:rFonts w:cs="Arial"/>
          <w:szCs w:val="20"/>
          <w:lang w:val="en-GB"/>
        </w:rPr>
      </w:pPr>
      <w:r w:rsidRPr="00692CA7">
        <w:rPr>
          <w:rFonts w:cs="Arial"/>
          <w:lang w:val="en-GB"/>
        </w:rPr>
        <w:t>PCR 20</w:t>
      </w:r>
      <w:sdt>
        <w:sdtPr>
          <w:rPr>
            <w:rFonts w:cs="Arial"/>
            <w:lang w:val="en-GB"/>
          </w:rPr>
          <w:id w:val="1755621148"/>
          <w:text/>
        </w:sdtPr>
        <w:sdtEndPr/>
        <w:sdtContent>
          <w:r w:rsidR="00AC5BEB" w:rsidRPr="00692CA7">
            <w:rPr>
              <w:rFonts w:cs="Arial"/>
              <w:lang w:val="en-GB"/>
            </w:rPr>
            <w:t>19</w:t>
          </w:r>
        </w:sdtContent>
      </w:sdt>
      <w:r w:rsidRPr="00692CA7">
        <w:rPr>
          <w:rFonts w:cs="Arial"/>
          <w:lang w:val="en-GB"/>
        </w:rPr>
        <w:t>:</w:t>
      </w:r>
      <w:sdt>
        <w:sdtPr>
          <w:rPr>
            <w:rFonts w:cs="Arial"/>
            <w:lang w:val="en-GB"/>
          </w:rPr>
          <w:id w:val="1935245063"/>
          <w:text/>
        </w:sdtPr>
        <w:sdtEndPr/>
        <w:sdtContent>
          <w:r w:rsidR="00AC5BEB" w:rsidRPr="00692CA7">
            <w:rPr>
              <w:rFonts w:cs="Arial"/>
              <w:lang w:val="en-GB"/>
            </w:rPr>
            <w:t>14</w:t>
          </w:r>
        </w:sdtContent>
      </w:sdt>
      <w:r w:rsidRPr="00692CA7">
        <w:rPr>
          <w:rFonts w:cs="Arial"/>
          <w:lang w:val="en-GB"/>
        </w:rPr>
        <w:t>.</w:t>
      </w:r>
      <w:r w:rsidRPr="00692CA7">
        <w:rPr>
          <w:rFonts w:cs="Arial"/>
          <w:szCs w:val="20"/>
          <w:lang w:val="en-GB"/>
        </w:rPr>
        <w:t xml:space="preserve"> </w:t>
      </w:r>
      <w:sdt>
        <w:sdtPr>
          <w:rPr>
            <w:rFonts w:cs="Arial"/>
            <w:lang w:val="en-GB"/>
          </w:rPr>
          <w:id w:val="1164043746"/>
          <w:text/>
        </w:sdtPr>
        <w:sdtEndPr/>
        <w:sdtContent>
          <w:r w:rsidRPr="00692CA7">
            <w:rPr>
              <w:rFonts w:cs="Arial"/>
              <w:lang w:val="en-GB"/>
            </w:rPr>
            <w:t>Name</w:t>
          </w:r>
        </w:sdtContent>
      </w:sdt>
      <w:r w:rsidRPr="00692CA7">
        <w:rPr>
          <w:rFonts w:cs="Arial"/>
          <w:lang w:val="en-GB"/>
        </w:rPr>
        <w:t xml:space="preserve">. </w:t>
      </w:r>
      <w:sdt>
        <w:sdtPr>
          <w:rPr>
            <w:rFonts w:cs="Arial"/>
            <w:lang w:val="en-GB"/>
          </w:rPr>
          <w:id w:val="-833763399"/>
          <w:text/>
        </w:sdtPr>
        <w:sdtEndPr/>
        <w:sdtContent>
          <w:r w:rsidRPr="00692CA7">
            <w:rPr>
              <w:rFonts w:cs="Arial"/>
              <w:lang w:val="en-GB"/>
            </w:rPr>
            <w:t>Version</w:t>
          </w:r>
        </w:sdtContent>
      </w:sdt>
    </w:p>
    <w:sdt>
      <w:sdtPr>
        <w:rPr>
          <w:rFonts w:cs="Arial"/>
          <w:i/>
          <w:lang w:val="en-GB"/>
        </w:rPr>
        <w:id w:val="715236208"/>
      </w:sdtPr>
      <w:sdtEndPr/>
      <w:sdtContent>
        <w:p w14:paraId="56E3C5C1" w14:textId="12678231" w:rsidR="009A354E" w:rsidRPr="00692CA7" w:rsidRDefault="009A354E" w:rsidP="003C2759">
          <w:pPr>
            <w:rPr>
              <w:rFonts w:cs="Arial"/>
              <w:i/>
              <w:lang w:val="en-GB"/>
            </w:rPr>
          </w:pPr>
          <w:r w:rsidRPr="00692CA7">
            <w:rPr>
              <w:rFonts w:cs="Arial"/>
              <w:i/>
              <w:lang w:val="en-GB"/>
            </w:rPr>
            <w:t xml:space="preserve">Other references </w:t>
          </w:r>
          <w:r w:rsidR="00374117" w:rsidRPr="00692CA7">
            <w:rPr>
              <w:rFonts w:cs="Arial"/>
              <w:i/>
              <w:lang w:val="en-GB"/>
            </w:rPr>
            <w:t>to be added</w:t>
          </w:r>
          <w:r w:rsidR="00AC5BEB" w:rsidRPr="00692CA7">
            <w:rPr>
              <w:rFonts w:cs="Arial"/>
              <w:i/>
              <w:lang w:val="en-GB"/>
            </w:rPr>
            <w:t xml:space="preserve">, </w:t>
          </w:r>
          <w:proofErr w:type="gramStart"/>
          <w:r w:rsidR="00AC5BEB" w:rsidRPr="00692CA7">
            <w:rPr>
              <w:rFonts w:cs="Arial"/>
              <w:i/>
              <w:lang w:val="en-GB"/>
            </w:rPr>
            <w:t>e.g.</w:t>
          </w:r>
          <w:proofErr w:type="gramEnd"/>
          <w:r w:rsidR="00AC5BEB" w:rsidRPr="00692CA7">
            <w:rPr>
              <w:rFonts w:cs="Arial"/>
              <w:i/>
              <w:lang w:val="en-GB"/>
            </w:rPr>
            <w:t xml:space="preserve">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972EC"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7127" w14:textId="77777777" w:rsidR="00D7580A" w:rsidRDefault="00D7580A" w:rsidP="00977AF6">
      <w:pPr>
        <w:spacing w:line="240" w:lineRule="auto"/>
      </w:pPr>
      <w:r>
        <w:separator/>
      </w:r>
    </w:p>
  </w:endnote>
  <w:endnote w:type="continuationSeparator" w:id="0">
    <w:p w14:paraId="6EF6D12C" w14:textId="77777777" w:rsidR="00D7580A" w:rsidRDefault="00D7580A" w:rsidP="00977AF6">
      <w:pPr>
        <w:spacing w:line="240" w:lineRule="auto"/>
      </w:pPr>
      <w:r>
        <w:continuationSeparator/>
      </w:r>
    </w:p>
  </w:endnote>
  <w:endnote w:type="continuationNotice" w:id="1">
    <w:p w14:paraId="21634DFB" w14:textId="77777777" w:rsidR="003B4F48" w:rsidRDefault="003B4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D027" w14:textId="6CD63395"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E65" w14:textId="77777777"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FAB" w14:textId="77777777" w:rsidR="00D7580A" w:rsidRDefault="00D7580A"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4C6B" w14:textId="77777777" w:rsidR="00D7580A" w:rsidRDefault="00D7580A" w:rsidP="00977AF6">
      <w:pPr>
        <w:spacing w:line="240" w:lineRule="auto"/>
      </w:pPr>
      <w:r>
        <w:separator/>
      </w:r>
    </w:p>
  </w:footnote>
  <w:footnote w:type="continuationSeparator" w:id="0">
    <w:p w14:paraId="0D929227" w14:textId="77777777" w:rsidR="00D7580A" w:rsidRDefault="00D7580A" w:rsidP="00977AF6">
      <w:pPr>
        <w:spacing w:line="240" w:lineRule="auto"/>
      </w:pPr>
      <w:r>
        <w:continuationSeparator/>
      </w:r>
    </w:p>
  </w:footnote>
  <w:footnote w:type="continuationNotice" w:id="1">
    <w:p w14:paraId="7F3A1766" w14:textId="77777777" w:rsidR="003B4F48" w:rsidRDefault="003B4F48">
      <w:pPr>
        <w:spacing w:line="240" w:lineRule="auto"/>
      </w:pPr>
    </w:p>
  </w:footnote>
  <w:footnote w:id="2">
    <w:p w14:paraId="4F706664" w14:textId="1BF13137" w:rsidR="00D7580A" w:rsidRPr="00B601A1" w:rsidRDefault="00D7580A">
      <w:pPr>
        <w:pStyle w:val="FootnoteText"/>
        <w:rPr>
          <w:lang w:val="en-US"/>
        </w:rPr>
      </w:pPr>
      <w:r>
        <w:rPr>
          <w:rStyle w:val="FootnoteReference"/>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BCAD" w14:textId="77777777" w:rsidR="00D7580A" w:rsidRDefault="006B1A6E">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772B" w14:textId="77777777" w:rsidR="00D7580A" w:rsidRDefault="006B1A6E">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5BB" w14:textId="77777777" w:rsidR="00D7580A" w:rsidRDefault="006B1A6E">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D7580A">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524B"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20E1" w14:textId="77777777" w:rsidR="00D7580A" w:rsidRDefault="006B1A6E">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E86" w14:textId="72D4596D" w:rsidR="00D7580A" w:rsidRDefault="00D7580A">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Header"/>
      <w:rPr>
        <w:rFonts w:cs="Arial"/>
        <w:sz w:val="16"/>
        <w:lang w:val="en-US"/>
      </w:rPr>
    </w:pPr>
  </w:p>
  <w:p w14:paraId="225936E7" w14:textId="6D667642" w:rsidR="00D7580A" w:rsidRDefault="00D7580A" w:rsidP="00977AF6">
    <w:pPr>
      <w:pStyle w:val="Header"/>
      <w:rPr>
        <w:rFonts w:cs="Arial"/>
        <w:sz w:val="16"/>
        <w:lang w:val="en-US"/>
      </w:rPr>
    </w:pPr>
  </w:p>
  <w:p w14:paraId="0ED3C508" w14:textId="77777777" w:rsidR="00D7580A" w:rsidRDefault="00D7580A" w:rsidP="00977AF6">
    <w:pPr>
      <w:pStyle w:val="Header"/>
      <w:rPr>
        <w:rFonts w:cs="Arial"/>
        <w:sz w:val="16"/>
        <w:lang w:val="en-US"/>
      </w:rPr>
    </w:pPr>
  </w:p>
  <w:p w14:paraId="24B6B3C4" w14:textId="77777777" w:rsidR="00D7580A" w:rsidRPr="00977AF6" w:rsidRDefault="00D7580A"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CBC" w14:textId="77777777" w:rsidR="00D7580A" w:rsidRDefault="006B1A6E">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AA2" w14:textId="77777777" w:rsidR="00D7580A" w:rsidRDefault="006B1A6E">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53D" w14:textId="77777777" w:rsidR="00D7580A" w:rsidRDefault="006B1A6E">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D81" w14:textId="77777777" w:rsidR="00D7580A" w:rsidRPr="00977AF6" w:rsidRDefault="006B1A6E"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A6EBB"/>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2F4900"/>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85B3A"/>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C6C73"/>
    <w:rsid w:val="005D410C"/>
    <w:rsid w:val="005D4714"/>
    <w:rsid w:val="005E4186"/>
    <w:rsid w:val="00606969"/>
    <w:rsid w:val="006073B1"/>
    <w:rsid w:val="00617187"/>
    <w:rsid w:val="00617E40"/>
    <w:rsid w:val="00620B26"/>
    <w:rsid w:val="006214D9"/>
    <w:rsid w:val="00631605"/>
    <w:rsid w:val="0063494F"/>
    <w:rsid w:val="0064209D"/>
    <w:rsid w:val="0064448C"/>
    <w:rsid w:val="00645E7C"/>
    <w:rsid w:val="006509C3"/>
    <w:rsid w:val="00650CCD"/>
    <w:rsid w:val="00655F93"/>
    <w:rsid w:val="00661055"/>
    <w:rsid w:val="00661363"/>
    <w:rsid w:val="006736E3"/>
    <w:rsid w:val="00680EE0"/>
    <w:rsid w:val="00683CAC"/>
    <w:rsid w:val="0068500A"/>
    <w:rsid w:val="0069189C"/>
    <w:rsid w:val="00692CA7"/>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96CAB"/>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B6361"/>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6D1060"/>
    <w:rsid w:val="00775695"/>
    <w:rsid w:val="00790FB5"/>
    <w:rsid w:val="007C49DF"/>
    <w:rsid w:val="008B00F3"/>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8D08D6-3BAC-425A-8B50-21E3CEBE683A}">
  <ds:schemaRefs>
    <ds:schemaRef ds:uri="http://schemas.openxmlformats.org/officeDocument/2006/bibliography"/>
  </ds:schemaRefs>
</ds:datastoreItem>
</file>

<file path=customXml/itemProps4.xml><?xml version="1.0" encoding="utf-8"?>
<ds:datastoreItem xmlns:ds="http://schemas.openxmlformats.org/officeDocument/2006/customXml" ds:itemID="{B4BF46D7-0232-4DAE-AD9C-00CBF12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2525</Words>
  <Characters>13384</Characters>
  <Application>Microsoft Office Word</Application>
  <DocSecurity>0</DocSecurity>
  <Lines>111</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Adam Lewrén</cp:lastModifiedBy>
  <cp:revision>6</cp:revision>
  <dcterms:created xsi:type="dcterms:W3CDTF">2022-11-10T08:53:00Z</dcterms:created>
  <dcterms:modified xsi:type="dcterms:W3CDTF">2023-01-24T18:31:00Z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