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5197" w14:textId="77777777" w:rsidR="008F555F" w:rsidRDefault="00E56936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E. Ferrari – L. Rinaldi</w:t>
      </w:r>
    </w:p>
    <w:p w14:paraId="636ACDEB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136A95D4" w14:textId="77777777" w:rsidR="00362223" w:rsidRPr="008E3C1D" w:rsidRDefault="00EE0B82" w:rsidP="00362223">
      <w:pPr>
        <w:jc w:val="center"/>
        <w:rPr>
          <w:rFonts w:ascii="Verdana" w:hAnsi="Verdana"/>
          <w:b/>
          <w:sz w:val="32"/>
          <w:szCs w:val="32"/>
        </w:rPr>
      </w:pPr>
      <w:r w:rsidRPr="008E3C1D">
        <w:rPr>
          <w:rFonts w:ascii="Verdana" w:hAnsi="Verdana"/>
          <w:b/>
          <w:sz w:val="32"/>
          <w:szCs w:val="32"/>
        </w:rPr>
        <w:t xml:space="preserve">TECNOLOGIE </w:t>
      </w:r>
      <w:r w:rsidR="008E3C1D" w:rsidRPr="008E3C1D">
        <w:rPr>
          <w:rFonts w:ascii="Verdana" w:hAnsi="Verdana"/>
          <w:b/>
          <w:sz w:val="32"/>
          <w:szCs w:val="32"/>
        </w:rPr>
        <w:t>ELETTRICO-ELETTRONICHE</w:t>
      </w:r>
      <w:r w:rsidRPr="008E3C1D">
        <w:rPr>
          <w:rFonts w:ascii="Verdana" w:hAnsi="Verdana"/>
          <w:b/>
          <w:sz w:val="32"/>
          <w:szCs w:val="32"/>
        </w:rPr>
        <w:t xml:space="preserve"> E APPLICAZIONI</w:t>
      </w:r>
      <w:r w:rsidR="00362223" w:rsidRPr="008E3C1D">
        <w:rPr>
          <w:rFonts w:ascii="Verdana" w:hAnsi="Verdana"/>
          <w:b/>
          <w:sz w:val="32"/>
          <w:szCs w:val="32"/>
        </w:rPr>
        <w:t xml:space="preserve"> </w:t>
      </w:r>
      <w:r w:rsidR="00D82BAA">
        <w:rPr>
          <w:rFonts w:ascii="Verdana" w:hAnsi="Verdana"/>
          <w:b/>
          <w:sz w:val="32"/>
          <w:szCs w:val="32"/>
        </w:rPr>
        <w:t xml:space="preserve"> </w:t>
      </w:r>
      <w:r w:rsidR="00362223" w:rsidRPr="008E3C1D">
        <w:rPr>
          <w:rFonts w:ascii="Verdana" w:hAnsi="Verdana"/>
          <w:b/>
          <w:sz w:val="32"/>
          <w:szCs w:val="32"/>
        </w:rPr>
        <w:t>1</w:t>
      </w:r>
    </w:p>
    <w:p w14:paraId="7B02973E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2D710C54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EE0B82">
        <w:rPr>
          <w:b/>
          <w:sz w:val="28"/>
          <w:szCs w:val="28"/>
        </w:rPr>
        <w:t xml:space="preserve">terzo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64F2AE15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4D0D44F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111C1380" w14:textId="2C9C554C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352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E56936">
        <w:rPr>
          <w:rFonts w:ascii="Verdana" w:hAnsi="Verdana"/>
        </w:rPr>
        <w:t>2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E56936">
        <w:rPr>
          <w:rFonts w:ascii="Verdana" w:hAnsi="Verdana"/>
        </w:rPr>
        <w:t>356</w:t>
      </w:r>
      <w:r>
        <w:rPr>
          <w:rFonts w:ascii="Verdana" w:hAnsi="Verdana"/>
        </w:rPr>
        <w:t>-</w:t>
      </w:r>
      <w:r w:rsidR="00E56936">
        <w:rPr>
          <w:rFonts w:ascii="Verdana" w:hAnsi="Verdana"/>
        </w:rPr>
        <w:t>8</w:t>
      </w:r>
    </w:p>
    <w:p w14:paraId="0481026E" w14:textId="77777777" w:rsidR="00715FD7" w:rsidRPr="00715FD7" w:rsidRDefault="00715FD7" w:rsidP="00362223">
      <w:pPr>
        <w:jc w:val="center"/>
        <w:rPr>
          <w:rFonts w:ascii="Verdana" w:hAnsi="Verdana"/>
          <w:sz w:val="16"/>
          <w:szCs w:val="16"/>
        </w:rPr>
      </w:pPr>
    </w:p>
    <w:p w14:paraId="6A423FC7" w14:textId="0A95A444" w:rsidR="00715FD7" w:rsidRDefault="00715FD7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5FAE631F" w14:textId="0E9EA910" w:rsidR="00EE0B82" w:rsidRPr="00715FD7" w:rsidRDefault="002E7FC9" w:rsidP="00715FD7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                                                        </w:t>
      </w:r>
    </w:p>
    <w:p w14:paraId="401D8E9A" w14:textId="77777777" w:rsidR="00FD1EF6" w:rsidRPr="00FD1EF6" w:rsidRDefault="002E7FC9" w:rsidP="002E7FC9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la nuova edizione - aggiornata, ampliata ed integrata - di Tecnologie Elettrico-Elettroniche e Applicazioni dell’Editrice San Marco destinata all’insegnamento della relativa disciplina degli Istituti Professionali. Al primo volume, per il terzo anno, seguono a scorrimento il volume secondo per il quarto anno e il volume terzo per il quinto anno. Il libro rappresenta una risorsa didattica aggiornata nei contenuti e nelle esercitazioni, all’interno dei quali il docente può progettare il proprio percorso didattico per l’acquisizione delle </w:t>
      </w:r>
      <w:r w:rsidRPr="007445B6">
        <w:rPr>
          <w:rFonts w:ascii="Verdana" w:hAnsi="Verdana" w:cstheme="minorHAnsi"/>
          <w:b/>
          <w:sz w:val="22"/>
          <w:szCs w:val="22"/>
        </w:rPr>
        <w:t>conoscenze</w:t>
      </w:r>
      <w:r w:rsidRPr="002E7FC9">
        <w:rPr>
          <w:rFonts w:ascii="Verdana" w:hAnsi="Verdana" w:cstheme="minorHAnsi"/>
          <w:sz w:val="22"/>
          <w:szCs w:val="22"/>
        </w:rPr>
        <w:t xml:space="preserve"> e delle </w:t>
      </w:r>
      <w:r w:rsidRPr="007445B6">
        <w:rPr>
          <w:rFonts w:ascii="Verdana" w:hAnsi="Verdana" w:cstheme="minorHAnsi"/>
          <w:b/>
          <w:sz w:val="22"/>
          <w:szCs w:val="22"/>
        </w:rPr>
        <w:t xml:space="preserve">abilità </w:t>
      </w:r>
      <w:r w:rsidRPr="002E7FC9">
        <w:rPr>
          <w:rFonts w:ascii="Verdana" w:hAnsi="Verdana" w:cstheme="minorHAnsi"/>
          <w:sz w:val="22"/>
          <w:szCs w:val="22"/>
        </w:rPr>
        <w:t xml:space="preserve">necessarie alla costruzione delle </w:t>
      </w:r>
      <w:r w:rsidRPr="007445B6">
        <w:rPr>
          <w:rFonts w:ascii="Verdana" w:hAnsi="Verdana" w:cstheme="minorHAnsi"/>
          <w:b/>
          <w:sz w:val="22"/>
          <w:szCs w:val="22"/>
        </w:rPr>
        <w:t>nuove competenze</w:t>
      </w:r>
      <w:r w:rsidRPr="002E7FC9">
        <w:rPr>
          <w:rFonts w:ascii="Verdana" w:hAnsi="Verdana" w:cstheme="minorHAnsi"/>
          <w:sz w:val="22"/>
          <w:szCs w:val="22"/>
        </w:rPr>
        <w:t xml:space="preserve"> </w:t>
      </w:r>
      <w:r w:rsidR="00FD1EF6" w:rsidRPr="00AE5DC7">
        <w:rPr>
          <w:rFonts w:ascii="Verdana" w:hAnsi="Verdana" w:cstheme="minorHAnsi"/>
          <w:sz w:val="22"/>
          <w:szCs w:val="22"/>
        </w:rPr>
        <w:t>professionali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 richieste dalle più recenti Indicazioni e Profili dei nuovi Istituti professionali.</w:t>
      </w:r>
    </w:p>
    <w:p w14:paraId="48F48AD4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primo volume fornisce una robusta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base di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</w:t>
      </w:r>
      <w:r w:rsidRPr="00FD1EF6">
        <w:rPr>
          <w:rFonts w:ascii="Verdana" w:eastAsia="Calibri" w:hAnsi="Verdana" w:cstheme="minorHAnsi"/>
          <w:b/>
          <w:sz w:val="22"/>
          <w:szCs w:val="22"/>
        </w:rPr>
        <w:t xml:space="preserve">conoscenze </w:t>
      </w:r>
      <w:r w:rsidRPr="00FD1EF6">
        <w:rPr>
          <w:rFonts w:ascii="Verdana" w:hAnsi="Verdana" w:cstheme="minorHAnsi"/>
          <w:b/>
          <w:sz w:val="22"/>
          <w:szCs w:val="22"/>
        </w:rPr>
        <w:t>tecniche elettriche</w:t>
      </w:r>
      <w:r w:rsidRPr="00FD1EF6">
        <w:rPr>
          <w:rFonts w:ascii="Verdana" w:hAnsi="Verdana" w:cstheme="minorHAnsi"/>
          <w:sz w:val="22"/>
          <w:szCs w:val="22"/>
        </w:rPr>
        <w:t xml:space="preserve"> e</w:t>
      </w:r>
      <w:r w:rsidRPr="00FD1EF6">
        <w:rPr>
          <w:rFonts w:ascii="Verdana" w:hAnsi="Verdana" w:cstheme="minorHAnsi"/>
          <w:b/>
          <w:sz w:val="22"/>
          <w:szCs w:val="22"/>
        </w:rPr>
        <w:t xml:space="preserve"> digitali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agli allievi che si confrontano per la prima volta con i temi dell’elettrotecnica e dell’elettronica mantenendo semplice la trattazione. Per questo gli approfondimenti di dettaglio sono riservati ai soli argomenti </w:t>
      </w:r>
      <w:r w:rsidR="00AE5DC7">
        <w:rPr>
          <w:rFonts w:ascii="Verdana" w:eastAsia="Calibri" w:hAnsi="Verdana" w:cstheme="minorHAnsi"/>
          <w:sz w:val="22"/>
          <w:szCs w:val="22"/>
        </w:rPr>
        <w:t xml:space="preserve">maggiormente </w:t>
      </w:r>
      <w:r w:rsidRPr="00FD1EF6">
        <w:rPr>
          <w:rFonts w:ascii="Verdana" w:eastAsia="Calibri" w:hAnsi="Verdana" w:cstheme="minorHAnsi"/>
          <w:sz w:val="22"/>
          <w:szCs w:val="22"/>
        </w:rPr>
        <w:t>formativi.</w:t>
      </w:r>
    </w:p>
    <w:p w14:paraId="687EBB88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libro si apre con i principi fondamentali relativi ai </w:t>
      </w:r>
      <w:r w:rsidRPr="002E7FC9">
        <w:rPr>
          <w:rFonts w:ascii="Verdana" w:eastAsia="Calibri" w:hAnsi="Verdana" w:cstheme="minorHAnsi"/>
          <w:sz w:val="22"/>
          <w:szCs w:val="22"/>
        </w:rPr>
        <w:t>circuiti elettrici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alle </w:t>
      </w:r>
      <w:r w:rsidRPr="002E7FC9">
        <w:rPr>
          <w:rFonts w:ascii="Verdana" w:eastAsia="Calibri" w:hAnsi="Verdana" w:cstheme="minorHAnsi"/>
          <w:sz w:val="22"/>
          <w:szCs w:val="22"/>
        </w:rPr>
        <w:t>reti elettriche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. Prosegue trattando i </w:t>
      </w:r>
      <w:r w:rsidRPr="002E7FC9">
        <w:rPr>
          <w:rFonts w:ascii="Verdana" w:eastAsia="Calibri" w:hAnsi="Verdana" w:cstheme="minorHAnsi"/>
          <w:sz w:val="22"/>
          <w:szCs w:val="22"/>
        </w:rPr>
        <w:t>condensatori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, poi gli </w:t>
      </w:r>
      <w:r w:rsidRPr="002E7FC9">
        <w:rPr>
          <w:rFonts w:ascii="Verdana" w:eastAsia="Calibri" w:hAnsi="Verdana" w:cstheme="minorHAnsi"/>
          <w:sz w:val="22"/>
          <w:szCs w:val="22"/>
        </w:rPr>
        <w:t>induttori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, i </w:t>
      </w:r>
      <w:r w:rsidRPr="002E7FC9">
        <w:rPr>
          <w:rFonts w:ascii="Verdana" w:eastAsia="Calibri" w:hAnsi="Verdana" w:cstheme="minorHAnsi"/>
          <w:sz w:val="22"/>
          <w:szCs w:val="22"/>
        </w:rPr>
        <w:t>circuiti in alternata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i </w:t>
      </w:r>
      <w:r w:rsidRPr="002E7FC9">
        <w:rPr>
          <w:rFonts w:ascii="Verdana" w:eastAsia="Calibri" w:hAnsi="Verdana" w:cstheme="minorHAnsi"/>
          <w:sz w:val="22"/>
          <w:szCs w:val="22"/>
        </w:rPr>
        <w:t>componenti a semiconduttore.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Particolare spazio è dato alle </w:t>
      </w:r>
      <w:r w:rsidRPr="002E7FC9">
        <w:rPr>
          <w:rFonts w:ascii="Verdana" w:eastAsia="Calibri" w:hAnsi="Verdana" w:cstheme="minorHAnsi"/>
          <w:sz w:val="22"/>
          <w:szCs w:val="22"/>
        </w:rPr>
        <w:t>reti logiche.</w:t>
      </w:r>
      <w:r w:rsidR="00074B26">
        <w:rPr>
          <w:rFonts w:ascii="Verdana" w:eastAsia="Calibri" w:hAnsi="Verdana" w:cstheme="minorHAnsi"/>
          <w:sz w:val="22"/>
          <w:szCs w:val="22"/>
        </w:rPr>
        <w:t xml:space="preserve"> Il volume si chiude con i primi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passi sulla </w:t>
      </w:r>
      <w:r w:rsidRPr="002E7FC9">
        <w:rPr>
          <w:rFonts w:ascii="Verdana" w:eastAsia="Calibri" w:hAnsi="Verdana" w:cstheme="minorHAnsi"/>
          <w:sz w:val="22"/>
          <w:szCs w:val="22"/>
        </w:rPr>
        <w:t>sicurezza degli impianti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gli </w:t>
      </w:r>
      <w:r w:rsidRPr="002E7FC9">
        <w:rPr>
          <w:rFonts w:ascii="Verdana" w:eastAsia="Calibri" w:hAnsi="Verdana" w:cstheme="minorHAnsi"/>
          <w:sz w:val="22"/>
          <w:szCs w:val="22"/>
        </w:rPr>
        <w:t>elementi elettrici per impianti civili,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approfonditi nei volumi successivi.</w:t>
      </w:r>
    </w:p>
    <w:p w14:paraId="60ED4C69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testo è diviso in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Unità di Apprendimento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(</w:t>
      </w:r>
      <w:proofErr w:type="spellStart"/>
      <w:r w:rsidRPr="00FD1EF6">
        <w:rPr>
          <w:rFonts w:ascii="Verdana" w:eastAsia="Calibri" w:hAnsi="Verdana" w:cstheme="minorHAnsi"/>
          <w:b/>
          <w:sz w:val="22"/>
          <w:szCs w:val="22"/>
        </w:rPr>
        <w:t>UdA</w:t>
      </w:r>
      <w:proofErr w:type="spellEnd"/>
      <w:r w:rsidRPr="00FD1EF6">
        <w:rPr>
          <w:rFonts w:ascii="Verdana" w:eastAsia="Calibri" w:hAnsi="Verdana" w:cstheme="minorHAnsi"/>
          <w:sz w:val="22"/>
          <w:szCs w:val="22"/>
        </w:rPr>
        <w:t xml:space="preserve">) parcellizzate in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sezioni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. La parcellizzazione del testo facilita il lavoro in classe e aiuta gli studenti nello studio. Nella parte teorica sono, inoltre, stati inseriti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esempi svolti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che consentono di vedere subito applicato l’argomento trattato. Ogni sezione si chiude con un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test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teorico, mentre alla fine </w:t>
      </w:r>
      <w:proofErr w:type="spellStart"/>
      <w:r w:rsidRPr="00FD1EF6">
        <w:rPr>
          <w:rFonts w:ascii="Verdana" w:eastAsia="Calibri" w:hAnsi="Verdana" w:cstheme="minorHAnsi"/>
          <w:sz w:val="22"/>
          <w:szCs w:val="22"/>
        </w:rPr>
        <w:t>dell’UdA</w:t>
      </w:r>
      <w:proofErr w:type="spellEnd"/>
      <w:r w:rsidRPr="00FD1EF6">
        <w:rPr>
          <w:rFonts w:ascii="Verdana" w:eastAsia="Calibri" w:hAnsi="Verdana" w:cstheme="minorHAnsi"/>
          <w:sz w:val="22"/>
          <w:szCs w:val="22"/>
        </w:rPr>
        <w:t xml:space="preserve"> sono presenti </w:t>
      </w:r>
      <w:r w:rsidRPr="002E7FC9">
        <w:rPr>
          <w:rFonts w:ascii="Verdana" w:eastAsia="Calibri" w:hAnsi="Verdana" w:cstheme="minorHAnsi"/>
          <w:sz w:val="22"/>
          <w:szCs w:val="22"/>
        </w:rPr>
        <w:t>tantissimi</w:t>
      </w:r>
      <w:r w:rsidRPr="00FD1EF6">
        <w:rPr>
          <w:rFonts w:ascii="Verdana" w:eastAsia="Calibri" w:hAnsi="Verdana" w:cstheme="minorHAnsi"/>
          <w:b/>
          <w:sz w:val="22"/>
          <w:szCs w:val="22"/>
        </w:rPr>
        <w:t xml:space="preserve"> esercizi graduati </w:t>
      </w:r>
      <w:r w:rsidRPr="002E7FC9">
        <w:rPr>
          <w:rFonts w:ascii="Verdana" w:eastAsia="Calibri" w:hAnsi="Verdana" w:cstheme="minorHAnsi"/>
          <w:sz w:val="22"/>
          <w:szCs w:val="22"/>
        </w:rPr>
        <w:t>per difficoltà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crescente. Particolarmente interessante è l’alternanza tra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esercizi svolti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ed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esercizi da svolgere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che guida lo studente nel ragionamento prima di cimentarsi con i quesiti. Ogni </w:t>
      </w:r>
      <w:proofErr w:type="spellStart"/>
      <w:r w:rsidRPr="00FD1EF6">
        <w:rPr>
          <w:rFonts w:ascii="Verdana" w:eastAsia="Calibri" w:hAnsi="Verdana" w:cstheme="minorHAnsi"/>
          <w:sz w:val="22"/>
          <w:szCs w:val="22"/>
        </w:rPr>
        <w:t>UdA</w:t>
      </w:r>
      <w:proofErr w:type="spellEnd"/>
      <w:r w:rsidRPr="00FD1EF6">
        <w:rPr>
          <w:rFonts w:ascii="Verdana" w:eastAsia="Calibri" w:hAnsi="Verdana" w:cstheme="minorHAnsi"/>
          <w:sz w:val="22"/>
          <w:szCs w:val="22"/>
        </w:rPr>
        <w:t xml:space="preserve"> ha anche una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sintesi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redatta in caratteri ad alta leggibilità che agevola lo studio e il ripasso ed è particolarmente preziosa per una didattica inclusiva.</w:t>
      </w:r>
    </w:p>
    <w:p w14:paraId="0A994997" w14:textId="77777777" w:rsidR="00FD1EF6" w:rsidRPr="00FD1EF6" w:rsidRDefault="00FD1EF6" w:rsidP="00AE5DC7">
      <w:pPr>
        <w:jc w:val="both"/>
        <w:rPr>
          <w:rFonts w:ascii="Verdana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>Il testo è ricco di tabelle, schemi tecnici e immagini e ha un focus particolare sulle tecnologie elettrotecniche, fondamental</w:t>
      </w:r>
      <w:r w:rsidR="002E7FC9">
        <w:rPr>
          <w:rFonts w:ascii="Verdana" w:eastAsia="Calibri" w:hAnsi="Verdana" w:cstheme="minorHAnsi"/>
          <w:sz w:val="22"/>
          <w:szCs w:val="22"/>
        </w:rPr>
        <w:t>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per questa disciplina.</w:t>
      </w:r>
      <w:r w:rsidR="007445B6">
        <w:rPr>
          <w:rFonts w:ascii="Verdana" w:eastAsia="Calibri" w:hAnsi="Verdana" w:cstheme="minorHAnsi"/>
          <w:sz w:val="22"/>
          <w:szCs w:val="22"/>
        </w:rPr>
        <w:t xml:space="preserve"> </w:t>
      </w:r>
      <w:r w:rsidRPr="00FD1EF6">
        <w:rPr>
          <w:rFonts w:ascii="Verdana" w:hAnsi="Verdana" w:cstheme="minorHAnsi"/>
          <w:sz w:val="22"/>
          <w:szCs w:val="22"/>
        </w:rPr>
        <w:t xml:space="preserve">Chiudono ogni </w:t>
      </w:r>
      <w:proofErr w:type="spellStart"/>
      <w:r w:rsidRPr="00FD1EF6">
        <w:rPr>
          <w:rFonts w:ascii="Verdana" w:hAnsi="Verdana" w:cstheme="minorHAnsi"/>
          <w:sz w:val="22"/>
          <w:szCs w:val="22"/>
        </w:rPr>
        <w:t>UdA</w:t>
      </w:r>
      <w:proofErr w:type="spellEnd"/>
      <w:r w:rsidRPr="00FD1EF6">
        <w:rPr>
          <w:rFonts w:ascii="Verdana" w:hAnsi="Verdana" w:cstheme="minorHAnsi"/>
          <w:sz w:val="22"/>
          <w:szCs w:val="22"/>
        </w:rPr>
        <w:t xml:space="preserve"> le </w:t>
      </w:r>
      <w:r w:rsidRPr="00FD1EF6">
        <w:rPr>
          <w:rFonts w:ascii="Verdana" w:hAnsi="Verdana" w:cstheme="minorHAnsi"/>
          <w:b/>
          <w:sz w:val="22"/>
          <w:szCs w:val="22"/>
        </w:rPr>
        <w:t>schede di laboratorio</w:t>
      </w:r>
      <w:r w:rsidRPr="00FD1EF6">
        <w:rPr>
          <w:rFonts w:ascii="Verdana" w:hAnsi="Verdana" w:cstheme="minorHAnsi"/>
          <w:sz w:val="22"/>
          <w:szCs w:val="22"/>
        </w:rPr>
        <w:t>, attività pratiche e in simulazione, sperimentate sulle tecnologie più recenti, che uniscono lavoro e apprendimento per rendere i concetti base più appetibili e sviluppare abilità e competenze, in ottica operativa e progettuale.</w:t>
      </w:r>
    </w:p>
    <w:p w14:paraId="35A8D97B" w14:textId="77777777" w:rsidR="007445B6" w:rsidRDefault="007445B6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 d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istribuzione dei contenuti e il livello di approfondimento rispettano i tempi e i ritmi di crescita professionale dello studente, così da consentire una solida maturazione delle </w:t>
      </w:r>
      <w:r w:rsidR="00FD1EF6" w:rsidRPr="00FD1EF6">
        <w:rPr>
          <w:rFonts w:ascii="Verdana" w:hAnsi="Verdana" w:cstheme="minorHAnsi"/>
          <w:b/>
          <w:sz w:val="22"/>
          <w:szCs w:val="22"/>
        </w:rPr>
        <w:t>competenze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 nei diversi anni. Il risultato è un percorso semplice, completo e significativo, che non trascura i particolari, facilmente integrabile con gli altri insegnamenti dell’area tecnica.</w:t>
      </w:r>
      <w:r w:rsidR="002E7FC9">
        <w:rPr>
          <w:rFonts w:ascii="Verdana" w:hAnsi="Verdana" w:cstheme="minorHAnsi"/>
          <w:sz w:val="22"/>
          <w:szCs w:val="22"/>
        </w:rPr>
        <w:t xml:space="preserve"> 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Il libro si completa sul sito della casa editrice con approfondimenti </w:t>
      </w:r>
      <w:r>
        <w:rPr>
          <w:rFonts w:ascii="Verdana" w:hAnsi="Verdana" w:cstheme="minorHAnsi"/>
          <w:sz w:val="22"/>
          <w:szCs w:val="22"/>
        </w:rPr>
        <w:t xml:space="preserve">multimediali 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e test interattivi. </w:t>
      </w:r>
    </w:p>
    <w:p w14:paraId="29AC234B" w14:textId="77777777" w:rsidR="007445B6" w:rsidRPr="0089709E" w:rsidRDefault="00FD1EF6" w:rsidP="00AE5DC7">
      <w:pPr>
        <w:jc w:val="both"/>
      </w:pPr>
      <w:r w:rsidRPr="00FD1EF6">
        <w:rPr>
          <w:rFonts w:ascii="Verdana" w:hAnsi="Verdana" w:cstheme="minorHAnsi"/>
          <w:sz w:val="22"/>
          <w:szCs w:val="22"/>
        </w:rPr>
        <w:t xml:space="preserve">Per il docente è a disposizione una preziosa </w:t>
      </w:r>
      <w:r w:rsidRPr="002E7FC9">
        <w:rPr>
          <w:rFonts w:ascii="Verdana" w:hAnsi="Verdana" w:cstheme="minorHAnsi"/>
          <w:b/>
          <w:sz w:val="22"/>
          <w:szCs w:val="22"/>
        </w:rPr>
        <w:t>Guida</w:t>
      </w:r>
      <w:r w:rsidRPr="00FD1EF6">
        <w:rPr>
          <w:rFonts w:ascii="Verdana" w:hAnsi="Verdana" w:cstheme="minorHAnsi"/>
          <w:sz w:val="22"/>
          <w:szCs w:val="22"/>
        </w:rPr>
        <w:t xml:space="preserve"> con proposte di verifica, soluzioni dei test presenti nel volume e le soluzioni delle schede di laboratorio.</w:t>
      </w:r>
    </w:p>
    <w:sectPr w:rsidR="007445B6" w:rsidRPr="0089709E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62DA" w14:textId="77777777" w:rsidR="00BA32F9" w:rsidRDefault="00BA32F9">
      <w:r>
        <w:separator/>
      </w:r>
    </w:p>
  </w:endnote>
  <w:endnote w:type="continuationSeparator" w:id="0">
    <w:p w14:paraId="01AA7215" w14:textId="77777777" w:rsidR="00BA32F9" w:rsidRDefault="00B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2E91" w14:textId="77777777" w:rsidR="00BA32F9" w:rsidRDefault="00BA32F9">
      <w:r>
        <w:separator/>
      </w:r>
    </w:p>
  </w:footnote>
  <w:footnote w:type="continuationSeparator" w:id="0">
    <w:p w14:paraId="63BA0582" w14:textId="77777777" w:rsidR="00BA32F9" w:rsidRDefault="00BA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129F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60F8C"/>
    <w:rsid w:val="00074B26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5903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B4B58"/>
    <w:rsid w:val="004B4D78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69276F"/>
    <w:rsid w:val="006A5E5A"/>
    <w:rsid w:val="006F4558"/>
    <w:rsid w:val="00701202"/>
    <w:rsid w:val="00703205"/>
    <w:rsid w:val="00715FD7"/>
    <w:rsid w:val="00726378"/>
    <w:rsid w:val="007445B6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E3C1D"/>
    <w:rsid w:val="008F555F"/>
    <w:rsid w:val="0098061D"/>
    <w:rsid w:val="009B4001"/>
    <w:rsid w:val="009C2A70"/>
    <w:rsid w:val="009D1556"/>
    <w:rsid w:val="00A00FF9"/>
    <w:rsid w:val="00A24B07"/>
    <w:rsid w:val="00A271E1"/>
    <w:rsid w:val="00A30121"/>
    <w:rsid w:val="00A56757"/>
    <w:rsid w:val="00A64C0D"/>
    <w:rsid w:val="00A81849"/>
    <w:rsid w:val="00A857EB"/>
    <w:rsid w:val="00AD2623"/>
    <w:rsid w:val="00AE5DC7"/>
    <w:rsid w:val="00AF2EE3"/>
    <w:rsid w:val="00B40B3C"/>
    <w:rsid w:val="00B92D90"/>
    <w:rsid w:val="00B933B9"/>
    <w:rsid w:val="00BA32F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E0B82"/>
    <w:rsid w:val="00EF2576"/>
    <w:rsid w:val="00F051E5"/>
    <w:rsid w:val="00F61DA0"/>
    <w:rsid w:val="00F63C64"/>
    <w:rsid w:val="00F66EB4"/>
    <w:rsid w:val="00FA4F56"/>
    <w:rsid w:val="00FD1EF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1D39"/>
  <w15:docId w15:val="{5F716625-7EE6-4A7D-87A1-D262DA4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9</cp:revision>
  <cp:lastPrinted>2019-03-28T16:05:00Z</cp:lastPrinted>
  <dcterms:created xsi:type="dcterms:W3CDTF">2019-03-28T15:04:00Z</dcterms:created>
  <dcterms:modified xsi:type="dcterms:W3CDTF">2020-08-31T09:25:00Z</dcterms:modified>
</cp:coreProperties>
</file>