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CDD5" w14:textId="77777777" w:rsidR="006A54DD" w:rsidRDefault="00CC2719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E. Ferrari – L. Rinaldi</w:t>
      </w:r>
    </w:p>
    <w:p w14:paraId="16DD25A5" w14:textId="77777777" w:rsidR="006A54DD" w:rsidRDefault="006A54DD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3CF9E66F" w14:textId="77777777" w:rsidR="006A54DD" w:rsidRDefault="00CC2719">
      <w:pPr>
        <w:jc w:val="center"/>
      </w:pPr>
      <w:r>
        <w:rPr>
          <w:rFonts w:ascii="Verdana" w:hAnsi="Verdana"/>
          <w:b/>
          <w:sz w:val="32"/>
          <w:szCs w:val="32"/>
        </w:rPr>
        <w:t>TECNOLOGIE ELETTRICO-ELETTRONICHE E APPLICAZIONI 2</w:t>
      </w:r>
    </w:p>
    <w:p w14:paraId="5A0A12B4" w14:textId="77777777" w:rsidR="006A54DD" w:rsidRDefault="006A54DD">
      <w:pPr>
        <w:jc w:val="center"/>
        <w:rPr>
          <w:rFonts w:ascii="Verdana" w:hAnsi="Verdana"/>
          <w:b/>
          <w:sz w:val="12"/>
          <w:szCs w:val="12"/>
        </w:rPr>
      </w:pPr>
    </w:p>
    <w:p w14:paraId="4F7C7030" w14:textId="77777777" w:rsidR="006A54DD" w:rsidRDefault="00CC2719">
      <w:pPr>
        <w:jc w:val="center"/>
      </w:pPr>
      <w:r>
        <w:rPr>
          <w:b/>
          <w:sz w:val="28"/>
          <w:szCs w:val="28"/>
        </w:rPr>
        <w:t xml:space="preserve">Per il quarto anno degli Istituti Professionali </w:t>
      </w:r>
    </w:p>
    <w:p w14:paraId="73E8B162" w14:textId="77777777" w:rsidR="006A54DD" w:rsidRDefault="00CC2719">
      <w:pPr>
        <w:jc w:val="center"/>
        <w:rPr>
          <w:rFonts w:ascii="Verdana" w:hAnsi="Verdana"/>
        </w:rPr>
      </w:pPr>
      <w:r>
        <w:rPr>
          <w:rFonts w:ascii="Verdana" w:hAnsi="Verdana"/>
        </w:rPr>
        <w:t>Con Interactive E-Book + Guida docente</w:t>
      </w:r>
    </w:p>
    <w:p w14:paraId="40E9F589" w14:textId="77777777" w:rsidR="006A54DD" w:rsidRDefault="006A54DD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A7D6933" w14:textId="1C41EA40" w:rsidR="006A54DD" w:rsidRDefault="00CC2719">
      <w:pPr>
        <w:jc w:val="center"/>
      </w:pPr>
      <w:r>
        <w:rPr>
          <w:rFonts w:ascii="Verdana" w:hAnsi="Verdana"/>
        </w:rPr>
        <w:t>pagg. 384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€ 23</w:t>
      </w:r>
      <w:r>
        <w:rPr>
          <w:rFonts w:ascii="Verdana" w:hAnsi="Verdana"/>
        </w:rPr>
        <w:t>,90</w:t>
      </w:r>
      <w:r>
        <w:rPr>
          <w:rFonts w:ascii="Verdana" w:hAnsi="Verdana"/>
        </w:rPr>
        <w:tab/>
        <w:t>ISBN 978-88-8488-374-2</w:t>
      </w:r>
    </w:p>
    <w:p w14:paraId="6839C0F6" w14:textId="77777777" w:rsidR="006A54DD" w:rsidRDefault="006A54DD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AAC8BBD" w14:textId="3C73D7F2" w:rsidR="006A54DD" w:rsidRDefault="00CC2719">
      <w:pPr>
        <w:tabs>
          <w:tab w:val="center" w:pos="4860"/>
          <w:tab w:val="left" w:pos="9214"/>
          <w:tab w:val="right" w:pos="10204"/>
        </w:tabs>
        <w:jc w:val="both"/>
      </w:pPr>
      <w:r>
        <w:rPr>
          <w:rFonts w:ascii="Verdana" w:hAnsi="Verdana"/>
          <w:b/>
          <w:caps/>
          <w:sz w:val="28"/>
          <w:szCs w:val="28"/>
        </w:rPr>
        <w:t>EDIZIONE</w:t>
      </w:r>
      <w:r>
        <w:rPr>
          <w:rFonts w:ascii="Verdana" w:hAnsi="Verdana"/>
          <w:b/>
          <w:caps/>
          <w:sz w:val="28"/>
          <w:szCs w:val="28"/>
        </w:rPr>
        <w:t xml:space="preserve"> 2020</w:t>
      </w:r>
      <w:r>
        <w:rPr>
          <w:rFonts w:ascii="Verdana" w:hAnsi="Verdana"/>
          <w:b/>
          <w:caps/>
          <w:sz w:val="28"/>
          <w:szCs w:val="28"/>
        </w:rPr>
        <w:tab/>
      </w:r>
      <w:r>
        <w:rPr>
          <w:rFonts w:ascii="Verdana" w:hAnsi="Verdana"/>
          <w:b/>
          <w:caps/>
          <w:sz w:val="28"/>
          <w:szCs w:val="28"/>
        </w:rPr>
        <w:t xml:space="preserve">                             </w:t>
      </w:r>
      <w:r>
        <w:rPr>
          <w:rFonts w:ascii="Verdana" w:hAnsi="Verdana"/>
          <w:b/>
          <w:caps/>
          <w:sz w:val="28"/>
          <w:szCs w:val="28"/>
        </w:rPr>
        <w:t xml:space="preserve">                         san marco</w:t>
      </w:r>
    </w:p>
    <w:p w14:paraId="18799A7E" w14:textId="77777777" w:rsidR="006A54DD" w:rsidRDefault="006A54DD">
      <w:pPr>
        <w:jc w:val="both"/>
        <w:rPr>
          <w:rFonts w:ascii="Verdana" w:hAnsi="Verdana"/>
          <w:sz w:val="22"/>
          <w:szCs w:val="22"/>
        </w:rPr>
      </w:pPr>
    </w:p>
    <w:p w14:paraId="0C289C88" w14:textId="77777777" w:rsidR="006A54DD" w:rsidRDefault="00CC2719">
      <w:pPr>
        <w:jc w:val="both"/>
      </w:pPr>
      <w:r>
        <w:rPr>
          <w:rFonts w:ascii="Verdana" w:hAnsi="Verdana" w:cstheme="minorHAnsi"/>
          <w:sz w:val="22"/>
          <w:szCs w:val="22"/>
        </w:rPr>
        <w:t xml:space="preserve">Si propone per l’adozione il secondo volume della nuova edizione aggiornata, ampliata ed integrata di </w:t>
      </w:r>
      <w:r>
        <w:rPr>
          <w:rFonts w:ascii="Verdana" w:hAnsi="Verdana" w:cstheme="minorHAnsi"/>
          <w:i/>
          <w:iCs/>
          <w:sz w:val="22"/>
          <w:szCs w:val="22"/>
        </w:rPr>
        <w:t>Tecnologie Elettrico-Elettroniche e Applicazioni</w:t>
      </w:r>
      <w:r>
        <w:rPr>
          <w:rFonts w:ascii="Verdana" w:hAnsi="Verdana" w:cstheme="minorHAnsi"/>
          <w:sz w:val="22"/>
          <w:szCs w:val="22"/>
        </w:rPr>
        <w:t xml:space="preserve"> dell’Editrice San Marco destinata all</w:t>
      </w:r>
      <w:r>
        <w:rPr>
          <w:rFonts w:ascii="Verdana" w:hAnsi="Verdana" w:cstheme="minorHAnsi"/>
          <w:sz w:val="22"/>
          <w:szCs w:val="22"/>
        </w:rPr>
        <w:t>’insegnamento della relativa disciplina degli Istituti Professionali. Il libro rappresenta una risorsa didattica aggiornata nei contenuti e nelle esercitazioni, all’interno dei quali il docente può progettare il proprio percorso didattico per l’acquisizion</w:t>
      </w:r>
      <w:r>
        <w:rPr>
          <w:rFonts w:ascii="Verdana" w:hAnsi="Verdana" w:cstheme="minorHAnsi"/>
          <w:sz w:val="22"/>
          <w:szCs w:val="22"/>
        </w:rPr>
        <w:t xml:space="preserve">e delle </w:t>
      </w:r>
      <w:r>
        <w:rPr>
          <w:rFonts w:ascii="Verdana" w:hAnsi="Verdana" w:cstheme="minorHAnsi"/>
          <w:b/>
          <w:sz w:val="22"/>
          <w:szCs w:val="22"/>
        </w:rPr>
        <w:t>conoscenze</w:t>
      </w:r>
      <w:r>
        <w:rPr>
          <w:rFonts w:ascii="Verdana" w:hAnsi="Verdana" w:cstheme="minorHAnsi"/>
          <w:sz w:val="22"/>
          <w:szCs w:val="22"/>
        </w:rPr>
        <w:t xml:space="preserve"> e delle </w:t>
      </w:r>
      <w:r>
        <w:rPr>
          <w:rFonts w:ascii="Verdana" w:hAnsi="Verdana" w:cstheme="minorHAnsi"/>
          <w:b/>
          <w:sz w:val="22"/>
          <w:szCs w:val="22"/>
        </w:rPr>
        <w:t xml:space="preserve">abilità </w:t>
      </w:r>
      <w:r>
        <w:rPr>
          <w:rFonts w:ascii="Verdana" w:hAnsi="Verdana" w:cstheme="minorHAnsi"/>
          <w:sz w:val="22"/>
          <w:szCs w:val="22"/>
        </w:rPr>
        <w:t xml:space="preserve">necessarie alla costruzione delle </w:t>
      </w:r>
      <w:r>
        <w:rPr>
          <w:rFonts w:ascii="Verdana" w:hAnsi="Verdana" w:cstheme="minorHAnsi"/>
          <w:b/>
          <w:sz w:val="22"/>
          <w:szCs w:val="22"/>
        </w:rPr>
        <w:t>nuove competenze</w:t>
      </w:r>
      <w:r>
        <w:rPr>
          <w:rFonts w:ascii="Verdana" w:hAnsi="Verdana" w:cstheme="minorHAnsi"/>
          <w:sz w:val="22"/>
          <w:szCs w:val="22"/>
        </w:rPr>
        <w:t xml:space="preserve"> professionali richieste dalle più recenti Indicazioni e Profili dei nuovi Istituti professionali.</w:t>
      </w:r>
    </w:p>
    <w:p w14:paraId="0D09CF32" w14:textId="77777777" w:rsidR="006A54DD" w:rsidRDefault="00CC2719">
      <w:pPr>
        <w:jc w:val="both"/>
      </w:pPr>
      <w:r>
        <w:rPr>
          <w:rFonts w:ascii="Verdana" w:eastAsia="Calibri" w:hAnsi="Verdana" w:cstheme="minorHAnsi"/>
          <w:sz w:val="22"/>
          <w:szCs w:val="22"/>
        </w:rPr>
        <w:t xml:space="preserve">Il testo è diviso in </w:t>
      </w:r>
      <w:r>
        <w:rPr>
          <w:rFonts w:ascii="Verdana" w:eastAsia="Calibri" w:hAnsi="Verdana" w:cstheme="minorHAnsi"/>
          <w:b/>
          <w:sz w:val="22"/>
          <w:szCs w:val="22"/>
        </w:rPr>
        <w:t>Unità di Apprendimento</w:t>
      </w:r>
      <w:r>
        <w:rPr>
          <w:rFonts w:ascii="Verdana" w:eastAsia="Calibri" w:hAnsi="Verdana" w:cstheme="minorHAnsi"/>
          <w:sz w:val="22"/>
          <w:szCs w:val="22"/>
        </w:rPr>
        <w:t xml:space="preserve"> (</w:t>
      </w:r>
      <w:proofErr w:type="spellStart"/>
      <w:r>
        <w:rPr>
          <w:rFonts w:ascii="Verdana" w:eastAsia="Calibri" w:hAnsi="Verdana" w:cstheme="minorHAnsi"/>
          <w:b/>
          <w:sz w:val="22"/>
          <w:szCs w:val="22"/>
        </w:rPr>
        <w:t>UdA</w:t>
      </w:r>
      <w:proofErr w:type="spellEnd"/>
      <w:r>
        <w:rPr>
          <w:rFonts w:ascii="Verdana" w:eastAsia="Calibri" w:hAnsi="Verdana" w:cstheme="minorHAnsi"/>
          <w:sz w:val="22"/>
          <w:szCs w:val="22"/>
        </w:rPr>
        <w:t xml:space="preserve">) parcellizzate in </w:t>
      </w:r>
      <w:r>
        <w:rPr>
          <w:rFonts w:ascii="Verdana" w:eastAsia="Calibri" w:hAnsi="Verdana" w:cstheme="minorHAnsi"/>
          <w:b/>
          <w:sz w:val="22"/>
          <w:szCs w:val="22"/>
        </w:rPr>
        <w:t>sezioni</w:t>
      </w:r>
      <w:r>
        <w:rPr>
          <w:rFonts w:ascii="Verdana" w:eastAsia="Calibri" w:hAnsi="Verdana" w:cstheme="minorHAnsi"/>
          <w:sz w:val="22"/>
          <w:szCs w:val="22"/>
        </w:rPr>
        <w:t xml:space="preserve">. La parcellizzazione del testo facilita il lavoro in classe e aiuta gli studenti nello studio. Nella parte teorica sono, inoltre, stati inseriti </w:t>
      </w:r>
      <w:r>
        <w:rPr>
          <w:rFonts w:ascii="Verdana" w:eastAsia="Calibri" w:hAnsi="Verdana" w:cstheme="minorHAnsi"/>
          <w:b/>
          <w:sz w:val="22"/>
          <w:szCs w:val="22"/>
        </w:rPr>
        <w:t>esempi svolti</w:t>
      </w:r>
      <w:r>
        <w:rPr>
          <w:rFonts w:ascii="Verdana" w:eastAsia="Calibri" w:hAnsi="Verdana" w:cstheme="minorHAnsi"/>
          <w:sz w:val="22"/>
          <w:szCs w:val="22"/>
        </w:rPr>
        <w:t xml:space="preserve"> che consentono di vedere subito applicato l’argomento trattato. Ogni s</w:t>
      </w:r>
      <w:r>
        <w:rPr>
          <w:rFonts w:ascii="Verdana" w:eastAsia="Calibri" w:hAnsi="Verdana" w:cstheme="minorHAnsi"/>
          <w:sz w:val="22"/>
          <w:szCs w:val="22"/>
        </w:rPr>
        <w:t xml:space="preserve">ezione si chiude con un </w:t>
      </w:r>
      <w:r>
        <w:rPr>
          <w:rFonts w:ascii="Verdana" w:eastAsia="Calibri" w:hAnsi="Verdana" w:cstheme="minorHAnsi"/>
          <w:b/>
          <w:sz w:val="22"/>
          <w:szCs w:val="22"/>
        </w:rPr>
        <w:t>test</w:t>
      </w:r>
      <w:r>
        <w:rPr>
          <w:rFonts w:ascii="Verdana" w:eastAsia="Calibri" w:hAnsi="Verdana" w:cstheme="minorHAnsi"/>
          <w:sz w:val="22"/>
          <w:szCs w:val="22"/>
        </w:rPr>
        <w:t xml:space="preserve"> teorico, mentre alla fine </w:t>
      </w:r>
      <w:proofErr w:type="spellStart"/>
      <w:r>
        <w:rPr>
          <w:rFonts w:ascii="Verdana" w:eastAsia="Calibri" w:hAnsi="Verdana" w:cstheme="minorHAnsi"/>
          <w:sz w:val="22"/>
          <w:szCs w:val="22"/>
        </w:rPr>
        <w:t>dell’UdA</w:t>
      </w:r>
      <w:proofErr w:type="spellEnd"/>
      <w:r>
        <w:rPr>
          <w:rFonts w:ascii="Verdana" w:eastAsia="Calibri" w:hAnsi="Verdana" w:cstheme="minorHAnsi"/>
          <w:sz w:val="22"/>
          <w:szCs w:val="22"/>
        </w:rPr>
        <w:t xml:space="preserve"> sono presenti tantissimi</w:t>
      </w:r>
      <w:r>
        <w:rPr>
          <w:rFonts w:ascii="Verdana" w:eastAsia="Calibri" w:hAnsi="Verdana" w:cstheme="minorHAnsi"/>
          <w:b/>
          <w:sz w:val="22"/>
          <w:szCs w:val="22"/>
        </w:rPr>
        <w:t xml:space="preserve"> esercizi graduati </w:t>
      </w:r>
      <w:r>
        <w:rPr>
          <w:rFonts w:ascii="Verdana" w:eastAsia="Calibri" w:hAnsi="Verdana" w:cstheme="minorHAnsi"/>
          <w:sz w:val="22"/>
          <w:szCs w:val="22"/>
        </w:rPr>
        <w:t xml:space="preserve">per difficoltà crescente. Particolarmente interessante è l’alternanza tra </w:t>
      </w:r>
      <w:r>
        <w:rPr>
          <w:rFonts w:ascii="Verdana" w:eastAsia="Calibri" w:hAnsi="Verdana" w:cstheme="minorHAnsi"/>
          <w:b/>
          <w:sz w:val="22"/>
          <w:szCs w:val="22"/>
        </w:rPr>
        <w:t>esercizi svolti</w:t>
      </w:r>
      <w:r>
        <w:rPr>
          <w:rFonts w:ascii="Verdana" w:eastAsia="Calibri" w:hAnsi="Verdana" w:cstheme="minorHAnsi"/>
          <w:sz w:val="22"/>
          <w:szCs w:val="22"/>
        </w:rPr>
        <w:t xml:space="preserve"> ed </w:t>
      </w:r>
      <w:r>
        <w:rPr>
          <w:rFonts w:ascii="Verdana" w:eastAsia="Calibri" w:hAnsi="Verdana" w:cstheme="minorHAnsi"/>
          <w:b/>
          <w:sz w:val="22"/>
          <w:szCs w:val="22"/>
        </w:rPr>
        <w:t>esercizi da svolgere</w:t>
      </w:r>
      <w:r>
        <w:rPr>
          <w:rFonts w:ascii="Verdana" w:eastAsia="Calibri" w:hAnsi="Verdana" w:cstheme="minorHAnsi"/>
          <w:sz w:val="22"/>
          <w:szCs w:val="22"/>
        </w:rPr>
        <w:t xml:space="preserve"> che guida lo studente nel ragioname</w:t>
      </w:r>
      <w:r>
        <w:rPr>
          <w:rFonts w:ascii="Verdana" w:eastAsia="Calibri" w:hAnsi="Verdana" w:cstheme="minorHAnsi"/>
          <w:sz w:val="22"/>
          <w:szCs w:val="22"/>
        </w:rPr>
        <w:t xml:space="preserve">nto prima di cimentarsi con i quesiti. Ogni </w:t>
      </w:r>
      <w:proofErr w:type="spellStart"/>
      <w:r>
        <w:rPr>
          <w:rFonts w:ascii="Verdana" w:eastAsia="Calibri" w:hAnsi="Verdana" w:cstheme="minorHAnsi"/>
          <w:sz w:val="22"/>
          <w:szCs w:val="22"/>
        </w:rPr>
        <w:t>UdA</w:t>
      </w:r>
      <w:proofErr w:type="spellEnd"/>
      <w:r>
        <w:rPr>
          <w:rFonts w:ascii="Verdana" w:eastAsia="Calibri" w:hAnsi="Verdana" w:cstheme="minorHAnsi"/>
          <w:sz w:val="22"/>
          <w:szCs w:val="22"/>
        </w:rPr>
        <w:t xml:space="preserve"> ha anche una </w:t>
      </w:r>
      <w:r>
        <w:rPr>
          <w:rFonts w:ascii="Verdana" w:eastAsia="Calibri" w:hAnsi="Verdana" w:cstheme="minorHAnsi"/>
          <w:b/>
          <w:sz w:val="22"/>
          <w:szCs w:val="22"/>
        </w:rPr>
        <w:t>sintesi</w:t>
      </w:r>
      <w:r>
        <w:rPr>
          <w:rFonts w:ascii="Verdana" w:eastAsia="Calibri" w:hAnsi="Verdana" w:cstheme="minorHAnsi"/>
          <w:sz w:val="22"/>
          <w:szCs w:val="22"/>
        </w:rPr>
        <w:t xml:space="preserve"> redatta in caratteri ad alta leggibilità che agevola lo studio e il ripasso ed è particolarmente preziosa per una didattica inclusiva.</w:t>
      </w:r>
    </w:p>
    <w:p w14:paraId="4C5E7712" w14:textId="77777777" w:rsidR="006A54DD" w:rsidRDefault="00CC2719">
      <w:pPr>
        <w:jc w:val="both"/>
      </w:pPr>
      <w:r>
        <w:rPr>
          <w:rFonts w:ascii="Verdana" w:eastAsia="Calibri" w:hAnsi="Verdana" w:cstheme="minorHAnsi"/>
          <w:sz w:val="22"/>
          <w:szCs w:val="22"/>
        </w:rPr>
        <w:t>Il testo è ricco di tabelle, schemi tecnici e immagi</w:t>
      </w:r>
      <w:r>
        <w:rPr>
          <w:rFonts w:ascii="Verdana" w:eastAsia="Calibri" w:hAnsi="Verdana" w:cstheme="minorHAnsi"/>
          <w:sz w:val="22"/>
          <w:szCs w:val="22"/>
        </w:rPr>
        <w:t xml:space="preserve">ni e ha un focus particolare sulle tecnologie elettrotecniche, fondamentali per questa disciplina. </w:t>
      </w:r>
      <w:r>
        <w:rPr>
          <w:rFonts w:ascii="Verdana" w:hAnsi="Verdana" w:cstheme="minorHAnsi"/>
          <w:sz w:val="22"/>
          <w:szCs w:val="22"/>
        </w:rPr>
        <w:t xml:space="preserve">Chiudono ogni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le </w:t>
      </w:r>
      <w:r>
        <w:rPr>
          <w:rFonts w:ascii="Verdana" w:hAnsi="Verdana" w:cstheme="minorHAnsi"/>
          <w:b/>
          <w:sz w:val="22"/>
          <w:szCs w:val="22"/>
        </w:rPr>
        <w:t>schede di laboratorio</w:t>
      </w:r>
      <w:r>
        <w:rPr>
          <w:rFonts w:ascii="Verdana" w:hAnsi="Verdana" w:cstheme="minorHAnsi"/>
          <w:sz w:val="22"/>
          <w:szCs w:val="22"/>
        </w:rPr>
        <w:t>, attività pratiche e in simulazione, sperimentate sulle tecnologie più recenti, che uniscono lavoro e apprendiment</w:t>
      </w:r>
      <w:r>
        <w:rPr>
          <w:rFonts w:ascii="Verdana" w:hAnsi="Verdana" w:cstheme="minorHAnsi"/>
          <w:sz w:val="22"/>
          <w:szCs w:val="22"/>
        </w:rPr>
        <w:t>o per rendere i concetti base più appetibili e sviluppare abilità e competenze, in ottica operativa e progettuale.</w:t>
      </w:r>
    </w:p>
    <w:p w14:paraId="5F0AD96F" w14:textId="77777777" w:rsidR="006A54DD" w:rsidRDefault="00CC2719">
      <w:pPr>
        <w:jc w:val="both"/>
      </w:pPr>
      <w:r>
        <w:rPr>
          <w:rFonts w:ascii="Verdana" w:hAnsi="Verdana" w:cstheme="minorHAnsi"/>
          <w:sz w:val="22"/>
          <w:szCs w:val="22"/>
        </w:rPr>
        <w:t>La distribuzione dei contenuti e il livello di approfondimento rispettano i tempi e i ritmi di crescita professionale dello studente, così da</w:t>
      </w:r>
      <w:r>
        <w:rPr>
          <w:rFonts w:ascii="Verdana" w:hAnsi="Verdana" w:cstheme="minorHAnsi"/>
          <w:sz w:val="22"/>
          <w:szCs w:val="22"/>
        </w:rPr>
        <w:t xml:space="preserve"> consentire una solida maturazione delle </w:t>
      </w:r>
      <w:r>
        <w:rPr>
          <w:rFonts w:ascii="Verdana" w:hAnsi="Verdana" w:cstheme="minorHAnsi"/>
          <w:b/>
          <w:sz w:val="22"/>
          <w:szCs w:val="22"/>
        </w:rPr>
        <w:t>competenze</w:t>
      </w:r>
      <w:r>
        <w:rPr>
          <w:rFonts w:ascii="Verdana" w:hAnsi="Verdana" w:cstheme="minorHAnsi"/>
          <w:sz w:val="22"/>
          <w:szCs w:val="22"/>
        </w:rPr>
        <w:t xml:space="preserve"> nei diversi anni. </w:t>
      </w:r>
    </w:p>
    <w:p w14:paraId="3E4466BE" w14:textId="77777777" w:rsidR="006A54DD" w:rsidRDefault="00CC2719">
      <w:pPr>
        <w:jc w:val="both"/>
      </w:pPr>
      <w:r>
        <w:rPr>
          <w:rFonts w:ascii="Verdana" w:eastAsia="Calibri" w:hAnsi="Verdana" w:cstheme="minorHAnsi"/>
          <w:sz w:val="22"/>
          <w:szCs w:val="22"/>
        </w:rPr>
        <w:t>Il secondo volume affronta nella prima parte gli argomenti fondamentali di elettronica (amplificatori, elaborazione dei segnali, controllo della potenza, conversione della potenza e tri</w:t>
      </w:r>
      <w:r>
        <w:rPr>
          <w:rFonts w:ascii="Verdana" w:eastAsia="Calibri" w:hAnsi="Verdana" w:cstheme="minorHAnsi"/>
          <w:sz w:val="22"/>
          <w:szCs w:val="22"/>
        </w:rPr>
        <w:t>fase). Si sofferma poi approfonditamente sulle macchine in alternata e in continua. Particolare importanza è data alla manutenzione in sicurezza con riferimento alle cabine in MT/BT. Chiude il libro uno sguardo agli elementi elettrici negli impianti indust</w:t>
      </w:r>
      <w:r>
        <w:rPr>
          <w:rFonts w:ascii="Verdana" w:eastAsia="Calibri" w:hAnsi="Verdana" w:cstheme="minorHAnsi"/>
          <w:sz w:val="22"/>
          <w:szCs w:val="22"/>
        </w:rPr>
        <w:t>riali.</w:t>
      </w:r>
    </w:p>
    <w:p w14:paraId="612664AF" w14:textId="77777777" w:rsidR="006A54DD" w:rsidRDefault="00CC2719">
      <w:pPr>
        <w:jc w:val="both"/>
      </w:pPr>
      <w:r>
        <w:rPr>
          <w:rFonts w:ascii="Verdana" w:hAnsi="Verdana" w:cstheme="minorHAnsi"/>
          <w:sz w:val="22"/>
          <w:szCs w:val="22"/>
        </w:rPr>
        <w:t xml:space="preserve">Il risultato è un percorso semplice, completo e significativo, che non trascura i particolari, facilmente integrabile con gli altri insegnamenti dell’area tecnica. Il libro si completa sul sito della casa editrice con approfondimenti multimediali e </w:t>
      </w:r>
      <w:r>
        <w:rPr>
          <w:rFonts w:ascii="Verdana" w:hAnsi="Verdana" w:cstheme="minorHAnsi"/>
          <w:sz w:val="22"/>
          <w:szCs w:val="22"/>
        </w:rPr>
        <w:t xml:space="preserve">test interattivi. </w:t>
      </w:r>
    </w:p>
    <w:p w14:paraId="18F1695D" w14:textId="77777777" w:rsidR="006A54DD" w:rsidRDefault="00CC2719">
      <w:pPr>
        <w:jc w:val="both"/>
      </w:pPr>
      <w:r>
        <w:rPr>
          <w:rFonts w:ascii="Verdana" w:hAnsi="Verdana" w:cstheme="minorHAnsi"/>
          <w:sz w:val="22"/>
          <w:szCs w:val="22"/>
        </w:rPr>
        <w:t xml:space="preserve">Per il docente è a disposizione una preziosa </w:t>
      </w:r>
      <w:r>
        <w:rPr>
          <w:rFonts w:ascii="Verdana" w:hAnsi="Verdana" w:cstheme="minorHAnsi"/>
          <w:b/>
          <w:sz w:val="22"/>
          <w:szCs w:val="22"/>
        </w:rPr>
        <w:t>Guida</w:t>
      </w:r>
      <w:r>
        <w:rPr>
          <w:rFonts w:ascii="Verdana" w:hAnsi="Verdana" w:cstheme="minorHAnsi"/>
          <w:sz w:val="22"/>
          <w:szCs w:val="22"/>
        </w:rPr>
        <w:t xml:space="preserve"> con proposte di verifica, soluzioni dei test presenti nel volume e le soluzioni delle schede di laboratorio che si configura come un interessante strumento per realizzare una didattica d</w:t>
      </w:r>
      <w:r>
        <w:rPr>
          <w:rFonts w:ascii="Verdana" w:hAnsi="Verdana" w:cstheme="minorHAnsi"/>
          <w:sz w:val="22"/>
          <w:szCs w:val="22"/>
        </w:rPr>
        <w:t>elle competenze in una disciplina tecnica.</w:t>
      </w:r>
    </w:p>
    <w:sectPr w:rsidR="006A54DD">
      <w:headerReference w:type="default" r:id="rId6"/>
      <w:pgSz w:w="11906" w:h="16838"/>
      <w:pgMar w:top="1417" w:right="1134" w:bottom="1134" w:left="1134" w:header="72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84ED" w14:textId="77777777" w:rsidR="00000000" w:rsidRDefault="00CC2719">
      <w:r>
        <w:separator/>
      </w:r>
    </w:p>
  </w:endnote>
  <w:endnote w:type="continuationSeparator" w:id="0">
    <w:p w14:paraId="27399C75" w14:textId="77777777" w:rsidR="00000000" w:rsidRDefault="00CC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BD2" w14:textId="77777777" w:rsidR="00000000" w:rsidRDefault="00CC2719">
      <w:r>
        <w:separator/>
      </w:r>
    </w:p>
  </w:footnote>
  <w:footnote w:type="continuationSeparator" w:id="0">
    <w:p w14:paraId="75CD35F1" w14:textId="77777777" w:rsidR="00000000" w:rsidRDefault="00CC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5AF3" w14:textId="77777777" w:rsidR="006A54DD" w:rsidRDefault="00CC2719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4DD"/>
    <w:rsid w:val="006A54DD"/>
    <w:rsid w:val="00C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832A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32A9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232A9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232A9B"/>
    <w:rPr>
      <w:sz w:val="24"/>
      <w:szCs w:val="24"/>
    </w:rPr>
  </w:style>
  <w:style w:type="character" w:customStyle="1" w:styleId="Enfasi">
    <w:name w:val="Enfasi"/>
    <w:basedOn w:val="Carpredefinitoparagrafo"/>
    <w:uiPriority w:val="99"/>
    <w:qFormat/>
    <w:rsid w:val="00127FB5"/>
    <w:rPr>
      <w:rFonts w:cs="Times New Roman"/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32A9B"/>
    <w:rPr>
      <w:sz w:val="0"/>
      <w:szCs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232A9B"/>
    <w:rPr>
      <w:sz w:val="24"/>
      <w:szCs w:val="24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3534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494</Words>
  <Characters>2817</Characters>
  <Application>Microsoft Office Word</Application>
  <DocSecurity>0</DocSecurity>
  <Lines>23</Lines>
  <Paragraphs>6</Paragraphs>
  <ScaleCrop>false</ScaleCrop>
  <Company>san marco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12</cp:revision>
  <cp:lastPrinted>2019-03-28T16:05:00Z</cp:lastPrinted>
  <dcterms:created xsi:type="dcterms:W3CDTF">2019-03-28T15:04:00Z</dcterms:created>
  <dcterms:modified xsi:type="dcterms:W3CDTF">2023-02-01T12:00:00Z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san marco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